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FF0000"/>
          <w:sz w:val="44"/>
          <w:szCs w:val="44"/>
          <w:lang w:eastAsia="zh-CN"/>
        </w:rPr>
      </w:pPr>
      <w:r>
        <w:rPr>
          <w:rFonts w:hint="eastAsia" w:ascii="黑体" w:hAnsi="黑体" w:eastAsia="黑体" w:cs="黑体"/>
          <w:color w:val="000000"/>
          <w:sz w:val="44"/>
          <w:szCs w:val="44"/>
          <w:lang w:eastAsia="zh-CN"/>
        </w:rPr>
        <w:t>海盐县人民政府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rPr>
        <w:t>20</w:t>
      </w:r>
      <w:r>
        <w:rPr>
          <w:rFonts w:hint="eastAsia" w:ascii="黑体" w:hAnsi="黑体" w:eastAsia="黑体" w:cs="黑体"/>
          <w:color w:val="000000"/>
          <w:sz w:val="44"/>
          <w:szCs w:val="44"/>
          <w:lang w:val="en-US" w:eastAsia="zh-CN"/>
        </w:rPr>
        <w:t>22</w:t>
      </w:r>
      <w:r>
        <w:rPr>
          <w:rFonts w:hint="eastAsia" w:ascii="黑体" w:hAnsi="黑体" w:eastAsia="黑体" w:cs="黑体"/>
          <w:color w:val="000000"/>
          <w:sz w:val="44"/>
          <w:szCs w:val="44"/>
        </w:rPr>
        <w:t>年度政府信息公开工作年度报告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b/>
          <w:color w:val="FF0000"/>
          <w:sz w:val="32"/>
          <w:szCs w:val="32"/>
          <w:lang w:eastAsia="zh-CN"/>
        </w:rPr>
      </w:pPr>
    </w:p>
    <w:p>
      <w:pPr>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根据《中华人民共和国政府信息公开条例》规定编制本报告。本报告所列数据的统计期限为202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年1月1日至12月31日。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2022年，</w:t>
      </w:r>
      <w:r>
        <w:rPr>
          <w:rFonts w:hint="default" w:ascii="仿宋" w:hAnsi="仿宋" w:eastAsia="仿宋" w:cs="仿宋"/>
          <w:color w:val="auto"/>
          <w:kern w:val="2"/>
          <w:sz w:val="32"/>
          <w:szCs w:val="32"/>
          <w:lang w:eastAsia="zh-CN" w:bidi="ar-SA"/>
        </w:rPr>
        <w:t>海盐县</w:t>
      </w:r>
      <w:r>
        <w:rPr>
          <w:rFonts w:hint="eastAsia" w:ascii="仿宋" w:hAnsi="仿宋" w:eastAsia="仿宋" w:cs="仿宋"/>
          <w:color w:val="auto"/>
          <w:kern w:val="2"/>
          <w:sz w:val="32"/>
          <w:szCs w:val="32"/>
          <w:lang w:val="en-US" w:eastAsia="zh-CN" w:bidi="ar-SA"/>
        </w:rPr>
        <w:t>以习近平新时代中国特色社会主义思想为指导，全面</w:t>
      </w:r>
      <w:r>
        <w:rPr>
          <w:rFonts w:hint="default" w:ascii="仿宋" w:hAnsi="仿宋" w:eastAsia="仿宋" w:cs="仿宋"/>
          <w:color w:val="auto"/>
          <w:kern w:val="2"/>
          <w:sz w:val="32"/>
          <w:szCs w:val="32"/>
          <w:lang w:val="en-US" w:eastAsia="zh-CN" w:bidi="ar-SA"/>
        </w:rPr>
        <w:t>贯彻党的二十大精神，</w:t>
      </w:r>
      <w:r>
        <w:rPr>
          <w:rFonts w:hint="eastAsia" w:ascii="仿宋" w:hAnsi="仿宋" w:eastAsia="仿宋" w:cs="仿宋"/>
          <w:color w:val="auto"/>
          <w:kern w:val="2"/>
          <w:sz w:val="32"/>
          <w:szCs w:val="32"/>
          <w:lang w:val="en-US" w:eastAsia="zh-CN" w:bidi="ar-SA"/>
        </w:rPr>
        <w:t>重点围绕提高政策公开质量、夯实公开工作基础等方面深化政府信息公开。</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主动公开情况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eastAsia="zh-CN" w:bidi="ar-SA"/>
        </w:rPr>
        <w:t xml:space="preserve">    </w:t>
      </w:r>
      <w:r>
        <w:rPr>
          <w:rFonts w:hint="eastAsia" w:ascii="仿宋" w:hAnsi="仿宋" w:eastAsia="仿宋" w:cs="仿宋"/>
          <w:color w:val="auto"/>
          <w:kern w:val="2"/>
          <w:sz w:val="32"/>
          <w:szCs w:val="32"/>
          <w:lang w:val="en-US" w:eastAsia="zh-CN" w:bidi="ar-SA"/>
        </w:rPr>
        <w:t>一是主动公开增质提效</w:t>
      </w:r>
      <w:r>
        <w:rPr>
          <w:rFonts w:hint="default"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CN" w:bidi="ar-SA"/>
        </w:rPr>
        <w:t>以“五公开”为抓手，公开政府信息9283条，规范性文件43件。二是聚焦特色专</w:t>
      </w:r>
      <w:r>
        <w:rPr>
          <w:rFonts w:hint="default" w:ascii="仿宋" w:hAnsi="仿宋" w:eastAsia="仿宋" w:cs="仿宋"/>
          <w:color w:val="auto"/>
          <w:kern w:val="2"/>
          <w:sz w:val="32"/>
          <w:szCs w:val="32"/>
          <w:lang w:eastAsia="zh-CN" w:bidi="ar-SA"/>
        </w:rPr>
        <w:t>栏。</w:t>
      </w:r>
      <w:r>
        <w:rPr>
          <w:rFonts w:hint="default" w:ascii="仿宋" w:hAnsi="仿宋" w:eastAsia="仿宋" w:cs="仿宋"/>
          <w:color w:val="auto"/>
          <w:kern w:val="2"/>
          <w:sz w:val="32"/>
          <w:szCs w:val="32"/>
          <w:lang w:val="en-US" w:eastAsia="zh-CN" w:bidi="ar-SA"/>
        </w:rPr>
        <w:t>共同富裕示范区</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政策进万企</w:t>
      </w:r>
      <w:r>
        <w:rPr>
          <w:rFonts w:hint="eastAsia" w:ascii="仿宋" w:hAnsi="仿宋" w:eastAsia="仿宋" w:cs="仿宋"/>
          <w:color w:val="auto"/>
          <w:kern w:val="2"/>
          <w:sz w:val="32"/>
          <w:szCs w:val="32"/>
          <w:lang w:val="en-US" w:eastAsia="zh-CN" w:bidi="ar-SA"/>
        </w:rPr>
        <w:t>、优化营商环境、“十四五”规划等重点</w:t>
      </w:r>
      <w:r>
        <w:rPr>
          <w:rFonts w:hint="default" w:ascii="仿宋" w:hAnsi="仿宋" w:eastAsia="仿宋" w:cs="仿宋"/>
          <w:color w:val="auto"/>
          <w:kern w:val="2"/>
          <w:sz w:val="32"/>
          <w:szCs w:val="32"/>
          <w:lang w:eastAsia="zh-CN" w:bidi="ar-SA"/>
        </w:rPr>
        <w:t>专栏发布</w:t>
      </w:r>
      <w:r>
        <w:rPr>
          <w:rFonts w:hint="eastAsia" w:ascii="仿宋" w:hAnsi="仿宋" w:eastAsia="仿宋" w:cs="仿宋"/>
          <w:color w:val="auto"/>
          <w:kern w:val="2"/>
          <w:sz w:val="32"/>
          <w:szCs w:val="32"/>
          <w:lang w:val="en-US" w:eastAsia="zh-CN" w:bidi="ar-SA"/>
        </w:rPr>
        <w:t>信息2489条</w:t>
      </w: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三是及时回应社会关切</w:t>
      </w:r>
      <w:r>
        <w:rPr>
          <w:rFonts w:hint="default"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CN" w:bidi="ar-SA"/>
        </w:rPr>
        <w:t>围绕就业、创业、教育、卫生防疫和助企纾困等热点问题，举办新闻发布会4场，回应社关切16件</w:t>
      </w:r>
      <w:bookmarkStart w:id="0" w:name="_GoBack"/>
      <w:bookmarkEnd w:id="0"/>
      <w:r>
        <w:rPr>
          <w:rFonts w:hint="eastAsia" w:ascii="仿宋" w:hAnsi="仿宋" w:eastAsia="仿宋" w:cs="仿宋"/>
          <w:color w:val="auto"/>
          <w:kern w:val="2"/>
          <w:sz w:val="32"/>
          <w:szCs w:val="32"/>
          <w:lang w:val="en-US" w:eastAsia="zh-CN" w:bidi="ar-SA"/>
        </w:rPr>
        <w:t>，在线访谈4期。四是提升政策解读实效性</w:t>
      </w:r>
      <w:r>
        <w:rPr>
          <w:rFonts w:hint="default"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CN" w:bidi="ar-SA"/>
        </w:rPr>
        <w:t>利用微博、微信，通过图表、视频、政策问答等方式，确保信息“看得到、听得懂、易获取”，全年发布政策解读70件。五是高标准推进基层政务公开标准化、规范化工作。按照“五统一”标准，镇、街道政务公开体验区实现全覆盖，不断延伸公开触角，依托清廉村居建设，促进阳光村务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（二）依申请公开情况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利用全省政府信息依申请公开数字化处理平台，推动全流程网上办理。全年依申请事项63件（含2021年结转1件），办结62件，1件结转下一年度。受理行政复议2件，行政诉讼2件。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（三）政府信息管理情况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通过公开专栏，对现行有效规范性文件进行集中公开。对照政务公开“一本账”，持续加强政府信息资源规范化、标准化、信息化管理，</w:t>
      </w:r>
      <w:r>
        <w:rPr>
          <w:rFonts w:hint="default" w:ascii="仿宋" w:hAnsi="仿宋" w:eastAsia="仿宋" w:cs="仿宋"/>
          <w:color w:val="auto"/>
          <w:kern w:val="2"/>
          <w:sz w:val="32"/>
          <w:szCs w:val="32"/>
          <w:lang w:eastAsia="zh-CN" w:bidi="ar-SA"/>
        </w:rPr>
        <w:t>及时</w:t>
      </w:r>
      <w:r>
        <w:rPr>
          <w:rFonts w:hint="eastAsia" w:ascii="仿宋" w:hAnsi="仿宋" w:eastAsia="仿宋" w:cs="仿宋"/>
          <w:color w:val="auto"/>
          <w:kern w:val="2"/>
          <w:sz w:val="32"/>
          <w:szCs w:val="32"/>
          <w:lang w:val="en-US" w:eastAsia="zh-CN" w:bidi="ar-SA"/>
        </w:rPr>
        <w:t>更新专栏内容。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（四）夯实平台支撑保障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发挥政府网站“主阵地”作用，实现法定公开信息“一网统发”，政务服务“一网通办”。融合海盐发布、爱海盐APP、浙江新闻客户端各类平台，完成信息共享互动。线下，依托政策宣讲团、</w:t>
      </w:r>
      <w:r>
        <w:rPr>
          <w:rFonts w:hint="default" w:ascii="仿宋" w:hAnsi="仿宋" w:eastAsia="仿宋" w:cs="仿宋"/>
          <w:color w:val="auto"/>
          <w:kern w:val="2"/>
          <w:sz w:val="32"/>
          <w:szCs w:val="32"/>
          <w:lang w:eastAsia="zh-CN" w:bidi="ar-SA"/>
        </w:rPr>
        <w:t>各类</w:t>
      </w:r>
      <w:r>
        <w:rPr>
          <w:rFonts w:hint="eastAsia" w:ascii="仿宋" w:hAnsi="仿宋" w:eastAsia="仿宋" w:cs="仿宋"/>
          <w:color w:val="auto"/>
          <w:kern w:val="2"/>
          <w:sz w:val="32"/>
          <w:szCs w:val="32"/>
          <w:lang w:val="en-US" w:eastAsia="zh-CN" w:bidi="ar-SA"/>
        </w:rPr>
        <w:t>开放日、新闻发布会等，打通政务服务“最后一公里”；规范政务新媒体运行，打造政务新媒体“1+5”矩阵，及时发布权威、有价值信息。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（五）强化工作指导监督。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落实“一月一检测、一季一通报，半年一督查，全年一考核”监督机制，并通过“回头看”形式，检查一年工作情况，发现短板及时纠正。开设《海盐县民生项目社会满意度评议》栏目，政府工作接受社会评议。2022年政府部门和镇（街道）未出现政府信息公开工作责任追究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二、主动公开政府信息情况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43</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9</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364985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284919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eastAsia" w:eastAsia="宋体"/>
                <w:sz w:val="21"/>
                <w:szCs w:val="21"/>
                <w:lang w:val="en-US" w:eastAsia="zh-CN"/>
              </w:rPr>
            </w:pPr>
            <w:r>
              <w:rPr>
                <w:rFonts w:hint="eastAsia" w:ascii="宋体" w:hAnsi="宋体" w:eastAsia="宋体" w:cs="宋体"/>
                <w:i w:val="0"/>
                <w:color w:val="000000"/>
                <w:kern w:val="0"/>
                <w:sz w:val="21"/>
                <w:szCs w:val="21"/>
                <w:u w:val="none"/>
                <w:lang w:val="en-US" w:eastAsia="zh-CN" w:bidi="ar"/>
              </w:rPr>
              <w:t>7363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jc w:val="center"/>
              <w:textAlignment w:val="center"/>
              <w:rPr>
                <w:rFonts w:hint="eastAsia" w:ascii="宋体"/>
                <w:sz w:val="24"/>
                <w:szCs w:val="24"/>
              </w:rPr>
            </w:pPr>
            <w:r>
              <w:rPr>
                <w:rFonts w:hint="eastAsia" w:ascii="宋体" w:hAnsi="宋体" w:eastAsia="宋体" w:cs="宋体"/>
                <w:i w:val="0"/>
                <w:color w:val="000000"/>
                <w:kern w:val="0"/>
                <w:sz w:val="21"/>
                <w:szCs w:val="21"/>
                <w:u w:val="none"/>
                <w:lang w:val="en-US" w:eastAsia="zh-CN" w:bidi="ar"/>
              </w:rPr>
              <w:t>25188.76924</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61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22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21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61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Calibri" w:hAnsi="Calibri" w:cs="Calibri"/>
                <w:kern w:val="0"/>
                <w:sz w:val="21"/>
                <w:szCs w:val="21"/>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eastAsia="宋体"/>
                <w:sz w:val="21"/>
                <w:szCs w:val="21"/>
                <w:lang w:val="en-US" w:eastAsia="zh-CN"/>
              </w:rPr>
            </w:pPr>
            <w:r>
              <w:rPr>
                <w:rFonts w:hint="eastAsia" w:ascii="宋体"/>
                <w:sz w:val="21"/>
                <w:szCs w:val="21"/>
                <w:lang w:val="en-US" w:eastAsia="zh-CN"/>
              </w:rPr>
              <w:t>1</w:t>
            </w:r>
          </w:p>
        </w:tc>
      </w:tr>
    </w:tbl>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2</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2</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2</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 w:eastAsia="zh-CN" w:bidi="ar-SA"/>
        </w:rPr>
      </w:pPr>
      <w:r>
        <w:rPr>
          <w:rFonts w:hint="eastAsia" w:ascii="仿宋" w:hAnsi="仿宋" w:eastAsia="仿宋" w:cs="仿宋"/>
          <w:color w:val="auto"/>
          <w:kern w:val="2"/>
          <w:sz w:val="32"/>
          <w:szCs w:val="32"/>
          <w:lang w:val="en" w:eastAsia="zh-CN" w:bidi="ar-SA"/>
        </w:rPr>
        <w:t>（一）存在的主要问题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一是信息公开意识有待加强，运用法治意识和法治思维应对实际工作的能力还需要进一步强化和提高;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二创新亮点工作还不够突出。在工作整体谋划和推进方式上，缺少以点带面的示范效应。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 w:eastAsia="zh-CN" w:bidi="ar-SA"/>
        </w:rPr>
        <w:t>（二）</w:t>
      </w:r>
      <w:r>
        <w:rPr>
          <w:rFonts w:hint="eastAsia" w:ascii="仿宋" w:hAnsi="仿宋" w:eastAsia="仿宋" w:cs="仿宋"/>
          <w:color w:val="auto"/>
          <w:kern w:val="2"/>
          <w:sz w:val="32"/>
          <w:szCs w:val="32"/>
          <w:lang w:val="en-US" w:eastAsia="zh-CN" w:bidi="ar-SA"/>
        </w:rPr>
        <w:t>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对标全省政务公开“一本账”，落实五张基础清单，逐项排查，发现问题及时整改，努力提升信息公开的含金量。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拓宽信息公开的广度和深度，巩固提升基层政务公开标准化规范化建设成果，深层次做好决策、执行、管理、服务、结果“五公开”。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规范做好依申请公开。规范完善依申请公开件接收、登记、审核、办理、答复、归档等闭环管理机制流程，提高答复专业化法治化水平。</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本年度未收取信息处理费。</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roma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val="zh-CN" w:eastAsia="zh-CN"/>
      </w:rPr>
      <w:t>10</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0B6E6"/>
    <w:multiLevelType w:val="singleLevel"/>
    <w:tmpl w:val="63E0B6E6"/>
    <w:lvl w:ilvl="0" w:tentative="0">
      <w:start w:val="1"/>
      <w:numFmt w:val="chineseCounting"/>
      <w:suff w:val="nothing"/>
      <w:lvlText w:val="（%1）"/>
      <w:lvlJc w:val="left"/>
    </w:lvl>
  </w:abstractNum>
  <w:abstractNum w:abstractNumId="1">
    <w:nsid w:val="63E5EC7A"/>
    <w:multiLevelType w:val="singleLevel"/>
    <w:tmpl w:val="63E5EC7A"/>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24261"/>
    <w:rsid w:val="000B2F20"/>
    <w:rsid w:val="03990B73"/>
    <w:rsid w:val="04402605"/>
    <w:rsid w:val="07D91E6C"/>
    <w:rsid w:val="07F12D96"/>
    <w:rsid w:val="0BAE3AB7"/>
    <w:rsid w:val="0C082ECB"/>
    <w:rsid w:val="0C7B7987"/>
    <w:rsid w:val="0DB20D09"/>
    <w:rsid w:val="1168681B"/>
    <w:rsid w:val="13A36145"/>
    <w:rsid w:val="158C3A67"/>
    <w:rsid w:val="17217381"/>
    <w:rsid w:val="18592901"/>
    <w:rsid w:val="1ADE78D9"/>
    <w:rsid w:val="1E495B3F"/>
    <w:rsid w:val="1F072051"/>
    <w:rsid w:val="20190339"/>
    <w:rsid w:val="20D864C7"/>
    <w:rsid w:val="27D40264"/>
    <w:rsid w:val="298869B1"/>
    <w:rsid w:val="2BA131A9"/>
    <w:rsid w:val="2BC901E5"/>
    <w:rsid w:val="2BFD1938"/>
    <w:rsid w:val="30CE471F"/>
    <w:rsid w:val="31784BB8"/>
    <w:rsid w:val="33DC4C2B"/>
    <w:rsid w:val="342D50A6"/>
    <w:rsid w:val="34C44320"/>
    <w:rsid w:val="39985E8D"/>
    <w:rsid w:val="3C0D0E14"/>
    <w:rsid w:val="3DA70BB6"/>
    <w:rsid w:val="4056719A"/>
    <w:rsid w:val="42112CF3"/>
    <w:rsid w:val="433A3A5A"/>
    <w:rsid w:val="446C184E"/>
    <w:rsid w:val="471E20BC"/>
    <w:rsid w:val="4D937AD1"/>
    <w:rsid w:val="4E7A454C"/>
    <w:rsid w:val="520124E1"/>
    <w:rsid w:val="52077FA0"/>
    <w:rsid w:val="522D01E0"/>
    <w:rsid w:val="56052DAF"/>
    <w:rsid w:val="570064CA"/>
    <w:rsid w:val="57751D0C"/>
    <w:rsid w:val="577771F3"/>
    <w:rsid w:val="592119C7"/>
    <w:rsid w:val="5955311B"/>
    <w:rsid w:val="5A6048D2"/>
    <w:rsid w:val="5C576F8B"/>
    <w:rsid w:val="5FFFE880"/>
    <w:rsid w:val="62B372FA"/>
    <w:rsid w:val="63024261"/>
    <w:rsid w:val="63B55C23"/>
    <w:rsid w:val="63D30A57"/>
    <w:rsid w:val="642052D3"/>
    <w:rsid w:val="680613B6"/>
    <w:rsid w:val="69D95E39"/>
    <w:rsid w:val="6A472BE9"/>
    <w:rsid w:val="6B433D86"/>
    <w:rsid w:val="6CF33ACD"/>
    <w:rsid w:val="6FC93958"/>
    <w:rsid w:val="6FD0517F"/>
    <w:rsid w:val="6FEFB919"/>
    <w:rsid w:val="70DC43B7"/>
    <w:rsid w:val="715D148D"/>
    <w:rsid w:val="73F423CB"/>
    <w:rsid w:val="77CF54DE"/>
    <w:rsid w:val="79001B14"/>
    <w:rsid w:val="7AAD7251"/>
    <w:rsid w:val="7BF26D14"/>
    <w:rsid w:val="7EBB8852"/>
    <w:rsid w:val="DDF7A8C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3"/>
    <w:qFormat/>
    <w:uiPriority w:val="0"/>
    <w:pPr>
      <w:ind w:firstLine="420" w:firstLineChars="200"/>
    </w:pPr>
  </w:style>
  <w:style w:type="paragraph" w:styleId="3">
    <w:name w:val="Body Text First Indent"/>
    <w:basedOn w:val="4"/>
    <w:next w:val="2"/>
    <w:qFormat/>
    <w:uiPriority w:val="0"/>
    <w:pPr>
      <w:ind w:firstLine="420" w:firstLineChars="100"/>
    </w:pPr>
  </w:style>
  <w:style w:type="paragraph" w:styleId="4">
    <w:name w:val="Body Text"/>
    <w:basedOn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1936</Words>
  <Characters>1982</Characters>
  <Lines>0</Lines>
  <Paragraphs>0</Paragraphs>
  <TotalTime>0</TotalTime>
  <ScaleCrop>false</ScaleCrop>
  <LinksUpToDate>false</LinksUpToDate>
  <CharactersWithSpaces>2171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2023-02-05T08:18:00Z</dcterms:created>
  <dc:creator>Administrator</dc:creator>
  <cp:lastModifiedBy>zfb36</cp:lastModifiedBy>
  <dcterms:modified xsi:type="dcterms:W3CDTF">2023-09-26T15:29:00Z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woTemplateTypoMode" linkTarget="0">
    <vt:lpwstr>web</vt:lpwstr>
  </property>
  <property fmtid="{D5CDD505-2E9C-101B-9397-08002B2CF9AE}" pid="4" name="woTemplate" linkTarget="0">
    <vt:i4>1</vt:i4>
  </property>
</Properties>
</file>