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5E" w:rsidRDefault="0036085E">
      <w:pPr>
        <w:spacing w:line="432" w:lineRule="auto"/>
        <w:rPr>
          <w:rFonts w:ascii="宋体" w:cs="宋体"/>
          <w:color w:val="000000"/>
          <w:sz w:val="24"/>
        </w:rPr>
      </w:pPr>
    </w:p>
    <w:p w:rsidR="0036085E" w:rsidRDefault="0036085E">
      <w:pPr>
        <w:spacing w:line="432" w:lineRule="auto"/>
        <w:ind w:firstLine="480"/>
        <w:rPr>
          <w:rFonts w:ascii="宋体" w:cs="宋体"/>
          <w:color w:val="000000"/>
          <w:sz w:val="24"/>
        </w:rPr>
      </w:pPr>
    </w:p>
    <w:p w:rsidR="0036085E" w:rsidRDefault="0032186C">
      <w:pPr>
        <w:spacing w:line="554" w:lineRule="auto"/>
        <w:jc w:val="center"/>
        <w:rPr>
          <w:rFonts w:ascii="宋体" w:cs="宋体"/>
          <w:b/>
          <w:color w:val="333333"/>
          <w:sz w:val="36"/>
        </w:rPr>
      </w:pPr>
      <w:r>
        <w:rPr>
          <w:rFonts w:ascii="宋体" w:cs="宋体"/>
          <w:b/>
          <w:color w:val="333333"/>
          <w:sz w:val="36"/>
        </w:rPr>
        <w:t>海盐县统计局</w:t>
      </w:r>
    </w:p>
    <w:p w:rsidR="0036085E" w:rsidRDefault="0032186C">
      <w:pPr>
        <w:spacing w:line="554" w:lineRule="auto"/>
        <w:jc w:val="center"/>
        <w:rPr>
          <w:rFonts w:ascii="微软雅黑" w:eastAsia="微软雅黑" w:cs="微软雅黑"/>
          <w:color w:val="333333"/>
          <w:sz w:val="24"/>
        </w:rPr>
      </w:pPr>
      <w:r>
        <w:rPr>
          <w:rFonts w:ascii="宋体" w:cs="宋体"/>
          <w:b/>
          <w:color w:val="333333"/>
          <w:sz w:val="36"/>
        </w:rPr>
        <w:t>2020年度政府信息公开工作年度报告</w:t>
      </w:r>
    </w:p>
    <w:p w:rsidR="0036085E" w:rsidRDefault="0036085E">
      <w:pPr>
        <w:spacing w:line="554" w:lineRule="auto"/>
        <w:jc w:val="center"/>
        <w:rPr>
          <w:rFonts w:ascii="微软雅黑" w:eastAsia="微软雅黑" w:cs="微软雅黑"/>
          <w:color w:val="333333"/>
          <w:sz w:val="24"/>
        </w:rPr>
      </w:pPr>
    </w:p>
    <w:p w:rsidR="0036085E" w:rsidRDefault="0032186C">
      <w:pPr>
        <w:spacing w:line="540" w:lineRule="auto"/>
        <w:ind w:firstLineChars="256" w:firstLine="794"/>
        <w:rPr>
          <w:rFonts w:ascii="仿宋_GB2312" w:eastAsia="仿宋_GB2312" w:cs="仿宋_GB2312"/>
          <w:sz w:val="32"/>
        </w:rPr>
      </w:pPr>
      <w:r>
        <w:rPr>
          <w:rFonts w:ascii="仿宋" w:eastAsia="仿宋" w:cs="仿宋"/>
          <w:color w:val="333333"/>
          <w:sz w:val="31"/>
        </w:rPr>
        <w:t>本年度报告是根据《中华人民共和国政府信息公开条例》（以下简称《条例》）要求，结合县统计局信息公开情况编制而成。本报告由总体情况、主动公开政府信息情况、收到和处理政府信息公开申请情况、政府信息公开行政复议及行政诉讼情况、存在的主要问题及改进措施、其他需要报告的事项组成。本年度报告中所列数据的统计时限自2020年1月1日至2020年12月31日。如对本年度报告有疑问，请与海盐县统计局办公室联系（地址：武原街道枣园西路619号，邮编：314300，电话：86119180）。</w:t>
      </w:r>
    </w:p>
    <w:p w:rsidR="0036085E" w:rsidRDefault="0032186C">
      <w:pPr>
        <w:spacing w:line="554" w:lineRule="auto"/>
        <w:ind w:firstLine="645"/>
        <w:jc w:val="left"/>
        <w:rPr>
          <w:rFonts w:ascii="仿宋" w:eastAsia="仿宋" w:cs="仿宋"/>
          <w:b/>
          <w:color w:val="333333"/>
          <w:sz w:val="31"/>
        </w:rPr>
      </w:pPr>
      <w:r>
        <w:rPr>
          <w:rFonts w:ascii="仿宋" w:eastAsia="仿宋" w:cs="仿宋"/>
          <w:b/>
          <w:color w:val="333333"/>
          <w:sz w:val="31"/>
        </w:rPr>
        <w:t>一、总体情况</w:t>
      </w:r>
    </w:p>
    <w:p w:rsidR="0036085E" w:rsidRDefault="0032186C">
      <w:pPr>
        <w:spacing w:line="554" w:lineRule="auto"/>
        <w:ind w:firstLine="645"/>
        <w:rPr>
          <w:rFonts w:ascii="微软雅黑" w:eastAsia="微软雅黑" w:cs="微软雅黑"/>
          <w:color w:val="333333"/>
          <w:sz w:val="24"/>
        </w:rPr>
      </w:pPr>
      <w:r>
        <w:rPr>
          <w:rFonts w:ascii="仿宋" w:eastAsia="仿宋" w:cs="仿宋"/>
          <w:color w:val="333333"/>
          <w:sz w:val="31"/>
        </w:rPr>
        <w:t>2020年，海盐县统计局高度重视政府信息公开工作，认真贯彻落实《条例》，按照全县政府信息公开工作的统一部署和要求，精心组织、突出重点、狠抓落实，安排专人负责，扎实做好各项信息公开工作，努力提高工作透明度。注重加强内部学习培训，多次组织全体干部学习县政府信息公开的</w:t>
      </w:r>
      <w:r>
        <w:rPr>
          <w:rFonts w:ascii="仿宋" w:eastAsia="仿宋" w:cs="仿宋"/>
          <w:color w:val="333333"/>
          <w:sz w:val="31"/>
        </w:rPr>
        <w:lastRenderedPageBreak/>
        <w:t>有关规定及《条例》，要求全局各科室、各工作人员积极协助配合，及时上报公开内容，较好地完成了全年的政务公开工作任务。</w:t>
      </w:r>
    </w:p>
    <w:p w:rsidR="0036085E" w:rsidRDefault="0032186C">
      <w:pPr>
        <w:spacing w:line="554" w:lineRule="auto"/>
        <w:ind w:left="645"/>
        <w:rPr>
          <w:rFonts w:ascii="仿宋" w:eastAsia="仿宋" w:cs="仿宋"/>
          <w:color w:val="333333"/>
          <w:sz w:val="31"/>
        </w:rPr>
      </w:pPr>
      <w:r>
        <w:rPr>
          <w:rFonts w:ascii="微软雅黑" w:eastAsia="微软雅黑" w:cs="微软雅黑"/>
          <w:color w:val="333333"/>
          <w:sz w:val="24"/>
        </w:rPr>
        <w:t>（</w:t>
      </w:r>
      <w:r>
        <w:rPr>
          <w:rFonts w:ascii="仿宋" w:eastAsia="仿宋" w:cs="仿宋"/>
          <w:color w:val="333333"/>
          <w:sz w:val="31"/>
        </w:rPr>
        <w:t>一）推进政府信息主动公开</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2020年，我局利用海盐县人民政府门户网站公开发布各类政府信息128条。一</w:t>
      </w:r>
      <w:r>
        <w:rPr>
          <w:rFonts w:ascii="仿宋" w:eastAsia="仿宋" w:cs="仿宋"/>
          <w:color w:val="000000"/>
          <w:sz w:val="31"/>
        </w:rPr>
        <w:t>是重点</w:t>
      </w:r>
      <w:r>
        <w:rPr>
          <w:rFonts w:ascii="仿宋" w:eastAsia="仿宋" w:cs="仿宋"/>
          <w:color w:val="333333"/>
          <w:sz w:val="31"/>
        </w:rPr>
        <w:t>领域信息公开。</w:t>
      </w:r>
      <w:r>
        <w:rPr>
          <w:rFonts w:ascii="仿宋" w:eastAsia="仿宋" w:cs="仿宋" w:hint="eastAsia"/>
          <w:sz w:val="32"/>
          <w:szCs w:val="32"/>
        </w:rPr>
        <w:t>加强政策宣传解读</w:t>
      </w:r>
      <w:r>
        <w:rPr>
          <w:rFonts w:ascii="仿宋" w:eastAsia="仿宋" w:cs="仿宋"/>
          <w:b/>
          <w:bCs/>
          <w:sz w:val="32"/>
          <w:szCs w:val="32"/>
        </w:rPr>
        <w:t>，</w:t>
      </w:r>
      <w:r>
        <w:rPr>
          <w:rFonts w:ascii="仿宋" w:eastAsia="仿宋" w:cs="仿宋" w:hint="eastAsia"/>
          <w:sz w:val="32"/>
          <w:szCs w:val="32"/>
        </w:rPr>
        <w:t>做好《</w:t>
      </w:r>
      <w:r>
        <w:rPr>
          <w:rFonts w:ascii="仿宋" w:eastAsia="仿宋" w:cs="仿宋"/>
          <w:sz w:val="32"/>
          <w:szCs w:val="32"/>
        </w:rPr>
        <w:t>海盐县第七次人口普查工作</w:t>
      </w:r>
      <w:r>
        <w:rPr>
          <w:rFonts w:ascii="仿宋" w:eastAsia="仿宋" w:cs="仿宋" w:hint="eastAsia"/>
          <w:sz w:val="32"/>
          <w:szCs w:val="32"/>
        </w:rPr>
        <w:t>》宣传解读工作</w:t>
      </w:r>
      <w:r>
        <w:rPr>
          <w:rFonts w:ascii="仿宋" w:eastAsia="仿宋" w:cs="仿宋"/>
          <w:sz w:val="32"/>
          <w:szCs w:val="32"/>
        </w:rPr>
        <w:t>，并</w:t>
      </w:r>
      <w:r>
        <w:rPr>
          <w:rFonts w:ascii="仿宋" w:eastAsia="仿宋" w:cs="仿宋" w:hint="eastAsia"/>
          <w:sz w:val="32"/>
          <w:szCs w:val="32"/>
        </w:rPr>
        <w:t>在海盐县人民政府网站做好解读和公开；</w:t>
      </w:r>
      <w:r>
        <w:rPr>
          <w:rFonts w:ascii="仿宋" w:eastAsia="仿宋" w:cs="仿宋"/>
          <w:sz w:val="32"/>
          <w:szCs w:val="32"/>
        </w:rPr>
        <w:t>发布</w:t>
      </w:r>
      <w:r>
        <w:rPr>
          <w:rFonts w:ascii="仿宋" w:eastAsia="仿宋" w:cs="仿宋" w:hint="eastAsia"/>
          <w:sz w:val="32"/>
          <w:szCs w:val="32"/>
        </w:rPr>
        <w:t>《</w:t>
      </w:r>
      <w:r>
        <w:rPr>
          <w:rFonts w:ascii="仿宋" w:eastAsia="仿宋" w:cs="仿宋"/>
          <w:sz w:val="32"/>
          <w:szCs w:val="32"/>
        </w:rPr>
        <w:t>海盐县第四次经济普查公报</w:t>
      </w:r>
      <w:r>
        <w:rPr>
          <w:rFonts w:ascii="仿宋" w:eastAsia="仿宋" w:cs="仿宋" w:hint="eastAsia"/>
          <w:sz w:val="32"/>
          <w:szCs w:val="32"/>
        </w:rPr>
        <w:t>》</w:t>
      </w:r>
      <w:r>
        <w:rPr>
          <w:rFonts w:ascii="仿宋" w:eastAsia="仿宋" w:cs="仿宋"/>
          <w:sz w:val="32"/>
          <w:szCs w:val="32"/>
        </w:rPr>
        <w:t>《2019年海盐县国民经济和社会发展统计公报》</w:t>
      </w:r>
      <w:r>
        <w:rPr>
          <w:rFonts w:ascii="仿宋" w:eastAsia="仿宋" w:cs="仿宋" w:hint="eastAsia"/>
          <w:sz w:val="32"/>
          <w:szCs w:val="32"/>
        </w:rPr>
        <w:t>《</w:t>
      </w:r>
      <w:r>
        <w:rPr>
          <w:rFonts w:ascii="仿宋" w:eastAsia="仿宋" w:cs="仿宋"/>
          <w:sz w:val="32"/>
          <w:szCs w:val="32"/>
        </w:rPr>
        <w:t>2019年海盐县全社会单位就业人员年平均工资统计公报</w:t>
      </w:r>
      <w:r>
        <w:rPr>
          <w:rFonts w:ascii="仿宋" w:eastAsia="仿宋" w:cs="仿宋" w:hint="eastAsia"/>
          <w:sz w:val="32"/>
          <w:szCs w:val="32"/>
        </w:rPr>
        <w:t>》等</w:t>
      </w:r>
      <w:r>
        <w:rPr>
          <w:rFonts w:ascii="仿宋" w:eastAsia="仿宋" w:cs="仿宋"/>
          <w:sz w:val="32"/>
          <w:szCs w:val="32"/>
        </w:rPr>
        <w:t>统计公报</w:t>
      </w:r>
      <w:r>
        <w:rPr>
          <w:rFonts w:ascii="仿宋" w:eastAsia="仿宋" w:cs="仿宋" w:hint="eastAsia"/>
          <w:sz w:val="32"/>
          <w:szCs w:val="32"/>
        </w:rPr>
        <w:t>，及时</w:t>
      </w:r>
      <w:r>
        <w:rPr>
          <w:rFonts w:ascii="仿宋" w:eastAsia="仿宋" w:cs="仿宋"/>
          <w:sz w:val="32"/>
          <w:szCs w:val="32"/>
        </w:rPr>
        <w:t>发布海盐经济动态信息</w:t>
      </w:r>
      <w:r>
        <w:rPr>
          <w:rFonts w:ascii="仿宋" w:eastAsia="仿宋" w:cs="仿宋" w:hint="eastAsia"/>
          <w:sz w:val="32"/>
          <w:szCs w:val="32"/>
        </w:rPr>
        <w:t>。</w:t>
      </w:r>
      <w:r>
        <w:rPr>
          <w:rFonts w:ascii="仿宋" w:eastAsia="仿宋" w:cs="仿宋"/>
          <w:color w:val="333333"/>
          <w:sz w:val="31"/>
        </w:rPr>
        <w:t>二</w:t>
      </w:r>
      <w:r>
        <w:rPr>
          <w:rFonts w:ascii="仿宋" w:eastAsia="仿宋" w:cs="仿宋"/>
          <w:color w:val="000000"/>
          <w:sz w:val="31"/>
        </w:rPr>
        <w:t>是做好重</w:t>
      </w:r>
      <w:r>
        <w:rPr>
          <w:rFonts w:ascii="仿宋" w:eastAsia="仿宋" w:cs="仿宋"/>
          <w:color w:val="333333"/>
          <w:sz w:val="31"/>
        </w:rPr>
        <w:t>要决策信息公开。我局积极落实2020年政务公开重点工作。根据《海盐县2020年政务公开重点工作责任分解》，做好政府信息公开工作，落实政府信息公开各项重点工作。三</w:t>
      </w:r>
      <w:r>
        <w:rPr>
          <w:rFonts w:ascii="仿宋" w:eastAsia="仿宋" w:cs="仿宋"/>
          <w:color w:val="000000"/>
          <w:sz w:val="31"/>
        </w:rPr>
        <w:t>是认</w:t>
      </w:r>
      <w:r>
        <w:rPr>
          <w:rFonts w:ascii="仿宋" w:eastAsia="仿宋" w:cs="仿宋"/>
          <w:color w:val="333333"/>
          <w:sz w:val="31"/>
        </w:rPr>
        <w:t>真做好政策解读。严格按照《浙江省行政机关政策解读工作实施办法》做好政策解读工作。四是积极畅通公众回应渠道，主动回应社会关切。</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（二）依法做好依申请公开</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1.受理依申请公开的数量：2020年度1件。申请方式：</w:t>
      </w:r>
      <w:r>
        <w:rPr>
          <w:rFonts w:ascii="仿宋" w:eastAsia="仿宋" w:cs="仿宋"/>
          <w:color w:val="333333"/>
          <w:sz w:val="31"/>
        </w:rPr>
        <w:lastRenderedPageBreak/>
        <w:t>网络申请数1件，纸质申请数0件。</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2.受理办理情况：已答复件数1件，其中</w:t>
      </w:r>
      <w:r>
        <w:rPr>
          <w:rFonts w:ascii="仿宋" w:eastAsia="仿宋" w:cs="仿宋"/>
          <w:color w:val="333333"/>
          <w:sz w:val="31"/>
        </w:rPr>
        <w:t>“</w:t>
      </w:r>
      <w:r>
        <w:rPr>
          <w:rFonts w:ascii="仿宋" w:eastAsia="仿宋" w:cs="仿宋"/>
          <w:color w:val="333333"/>
          <w:sz w:val="31"/>
        </w:rPr>
        <w:t>同意公开答复数</w:t>
      </w:r>
      <w:r>
        <w:rPr>
          <w:rFonts w:ascii="仿宋" w:eastAsia="仿宋" w:cs="仿宋"/>
          <w:color w:val="333333"/>
          <w:sz w:val="31"/>
        </w:rPr>
        <w:t>”</w:t>
      </w:r>
      <w:r>
        <w:rPr>
          <w:rFonts w:ascii="仿宋" w:eastAsia="仿宋" w:cs="仿宋"/>
          <w:color w:val="333333"/>
          <w:sz w:val="31"/>
        </w:rPr>
        <w:t>1件；申请信息不存在数0件。</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3.不予公开情况：无。</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（三）切实加强政府信息管理</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规范性文件方面，2020年我局</w:t>
      </w:r>
      <w:proofErr w:type="gramStart"/>
      <w:r>
        <w:rPr>
          <w:rFonts w:ascii="仿宋" w:eastAsia="仿宋" w:cs="仿宋"/>
          <w:color w:val="333333"/>
          <w:sz w:val="31"/>
        </w:rPr>
        <w:t>未发布</w:t>
      </w:r>
      <w:proofErr w:type="gramEnd"/>
      <w:r>
        <w:rPr>
          <w:rFonts w:ascii="仿宋" w:eastAsia="仿宋" w:cs="仿宋"/>
          <w:color w:val="333333"/>
          <w:sz w:val="31"/>
        </w:rPr>
        <w:t>规范性文件。信息公开审查方面，我局按照</w:t>
      </w:r>
      <w:r>
        <w:rPr>
          <w:rFonts w:ascii="仿宋" w:eastAsia="仿宋" w:cs="仿宋"/>
          <w:color w:val="333333"/>
          <w:sz w:val="31"/>
        </w:rPr>
        <w:t>“</w:t>
      </w:r>
      <w:r>
        <w:rPr>
          <w:rFonts w:ascii="仿宋" w:eastAsia="仿宋" w:cs="仿宋"/>
          <w:color w:val="333333"/>
          <w:sz w:val="31"/>
        </w:rPr>
        <w:t>先审查，后公开</w:t>
      </w:r>
      <w:r>
        <w:rPr>
          <w:rFonts w:ascii="仿宋" w:eastAsia="仿宋" w:cs="仿宋"/>
          <w:color w:val="333333"/>
          <w:sz w:val="31"/>
        </w:rPr>
        <w:t>”</w:t>
      </w:r>
      <w:r>
        <w:rPr>
          <w:rFonts w:ascii="仿宋" w:eastAsia="仿宋" w:cs="仿宋"/>
          <w:color w:val="333333"/>
          <w:sz w:val="31"/>
        </w:rPr>
        <w:t>等原则及信息公开工作的有关要求，严格按照信息公开保密审查程序，结合公文制作和运转流程，建立健全了信息公开保密审查机制，</w:t>
      </w:r>
      <w:proofErr w:type="gramStart"/>
      <w:r>
        <w:rPr>
          <w:rFonts w:ascii="仿宋" w:eastAsia="仿宋" w:cs="仿宋"/>
          <w:color w:val="333333"/>
          <w:sz w:val="31"/>
        </w:rPr>
        <w:t>凡对外</w:t>
      </w:r>
      <w:proofErr w:type="gramEnd"/>
      <w:r>
        <w:rPr>
          <w:rFonts w:ascii="仿宋" w:eastAsia="仿宋" w:cs="仿宋"/>
          <w:color w:val="333333"/>
          <w:sz w:val="31"/>
        </w:rPr>
        <w:t>公开的信息，都经保密审查领导小组领导审批后再公开，确保政府信息规范管理。</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（四）提升公开</w:t>
      </w:r>
      <w:proofErr w:type="gramStart"/>
      <w:r>
        <w:rPr>
          <w:rFonts w:ascii="仿宋" w:eastAsia="仿宋" w:cs="仿宋"/>
          <w:color w:val="333333"/>
          <w:sz w:val="31"/>
        </w:rPr>
        <w:t>平台建</w:t>
      </w:r>
      <w:proofErr w:type="gramEnd"/>
      <w:r>
        <w:rPr>
          <w:rFonts w:ascii="仿宋" w:eastAsia="仿宋" w:cs="仿宋"/>
          <w:color w:val="333333"/>
          <w:sz w:val="31"/>
        </w:rPr>
        <w:t>管水平</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我局采用网站公开方式，强化信息公开网站管理，</w:t>
      </w:r>
      <w:proofErr w:type="gramStart"/>
      <w:r>
        <w:rPr>
          <w:rFonts w:ascii="仿宋" w:eastAsia="仿宋" w:cs="仿宋"/>
          <w:color w:val="333333"/>
          <w:sz w:val="31"/>
        </w:rPr>
        <w:t>官方微博</w:t>
      </w:r>
      <w:r>
        <w:rPr>
          <w:rFonts w:ascii="仿宋" w:eastAsia="仿宋" w:cs="仿宋"/>
          <w:color w:val="333333"/>
          <w:sz w:val="31"/>
        </w:rPr>
        <w:t>“</w:t>
      </w:r>
      <w:r>
        <w:rPr>
          <w:rFonts w:ascii="仿宋" w:eastAsia="仿宋" w:cs="仿宋"/>
          <w:color w:val="333333"/>
          <w:sz w:val="31"/>
        </w:rPr>
        <w:t>海盐统计</w:t>
      </w:r>
      <w:r>
        <w:rPr>
          <w:rFonts w:ascii="仿宋" w:eastAsia="仿宋" w:cs="仿宋"/>
          <w:color w:val="333333"/>
          <w:sz w:val="31"/>
        </w:rPr>
        <w:t>”</w:t>
      </w:r>
      <w:proofErr w:type="gramEnd"/>
      <w:r>
        <w:rPr>
          <w:rFonts w:ascii="仿宋" w:eastAsia="仿宋" w:cs="仿宋"/>
          <w:color w:val="333333"/>
          <w:sz w:val="31"/>
        </w:rPr>
        <w:t>运行顺畅，持续在政府公开网站</w:t>
      </w:r>
      <w:proofErr w:type="gramStart"/>
      <w:r>
        <w:rPr>
          <w:rFonts w:ascii="仿宋" w:eastAsia="仿宋" w:cs="仿宋"/>
          <w:color w:val="333333"/>
          <w:sz w:val="31"/>
        </w:rPr>
        <w:t>和微博平台</w:t>
      </w:r>
      <w:proofErr w:type="gramEnd"/>
      <w:r>
        <w:rPr>
          <w:rFonts w:ascii="仿宋" w:eastAsia="仿宋" w:cs="仿宋"/>
          <w:color w:val="333333"/>
          <w:sz w:val="31"/>
        </w:rPr>
        <w:t>定期推送统计信息。</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（五）强化信息公开监督保障</w:t>
      </w:r>
    </w:p>
    <w:p w:rsidR="0036085E" w:rsidRDefault="0032186C">
      <w:pPr>
        <w:spacing w:line="554" w:lineRule="auto"/>
        <w:ind w:firstLine="620"/>
        <w:rPr>
          <w:rFonts w:ascii="仿宋" w:eastAsia="仿宋" w:cs="仿宋"/>
          <w:color w:val="333333"/>
          <w:sz w:val="31"/>
        </w:rPr>
      </w:pPr>
      <w:r>
        <w:rPr>
          <w:rFonts w:ascii="仿宋" w:eastAsia="仿宋" w:cs="仿宋"/>
          <w:color w:val="333333"/>
          <w:sz w:val="31"/>
        </w:rPr>
        <w:t>通过建立健全《政府信息公开保密审查制度》《政府信息公开发布审核制度》等相关制度，规范信息发布工作遵循的</w:t>
      </w:r>
      <w:r>
        <w:rPr>
          <w:rFonts w:ascii="仿宋" w:eastAsia="仿宋" w:cs="仿宋"/>
          <w:color w:val="333333"/>
          <w:sz w:val="31"/>
        </w:rPr>
        <w:t>“</w:t>
      </w:r>
      <w:r>
        <w:rPr>
          <w:rFonts w:ascii="仿宋" w:eastAsia="仿宋" w:cs="仿宋"/>
          <w:color w:val="333333"/>
          <w:sz w:val="31"/>
        </w:rPr>
        <w:t>谁审查、谁负责，谁发布、谁负责，先审查、后发布</w:t>
      </w:r>
      <w:r>
        <w:rPr>
          <w:rFonts w:ascii="仿宋" w:eastAsia="仿宋" w:cs="仿宋"/>
          <w:color w:val="333333"/>
          <w:sz w:val="31"/>
        </w:rPr>
        <w:t>”</w:t>
      </w:r>
      <w:r>
        <w:rPr>
          <w:rFonts w:ascii="仿宋" w:eastAsia="仿宋" w:cs="仿宋"/>
          <w:color w:val="333333"/>
          <w:sz w:val="31"/>
        </w:rPr>
        <w:t>和</w:t>
      </w:r>
      <w:r>
        <w:rPr>
          <w:rFonts w:ascii="仿宋" w:eastAsia="仿宋" w:cs="仿宋"/>
          <w:color w:val="333333"/>
          <w:sz w:val="31"/>
        </w:rPr>
        <w:t>“</w:t>
      </w:r>
      <w:r>
        <w:rPr>
          <w:rFonts w:ascii="仿宋" w:eastAsia="仿宋" w:cs="仿宋"/>
          <w:color w:val="333333"/>
          <w:sz w:val="31"/>
        </w:rPr>
        <w:t>涉</w:t>
      </w:r>
      <w:r>
        <w:rPr>
          <w:rFonts w:ascii="仿宋" w:eastAsia="仿宋" w:cs="仿宋"/>
          <w:color w:val="333333"/>
          <w:sz w:val="31"/>
        </w:rPr>
        <w:lastRenderedPageBreak/>
        <w:t>密信息</w:t>
      </w:r>
      <w:proofErr w:type="gramStart"/>
      <w:r>
        <w:rPr>
          <w:rFonts w:ascii="仿宋" w:eastAsia="仿宋" w:cs="仿宋"/>
          <w:color w:val="333333"/>
          <w:sz w:val="31"/>
        </w:rPr>
        <w:t>不</w:t>
      </w:r>
      <w:proofErr w:type="gramEnd"/>
      <w:r>
        <w:rPr>
          <w:rFonts w:ascii="仿宋" w:eastAsia="仿宋" w:cs="仿宋"/>
          <w:color w:val="333333"/>
          <w:sz w:val="31"/>
        </w:rPr>
        <w:t>上网，上网信息不涉密</w:t>
      </w:r>
      <w:r>
        <w:rPr>
          <w:rFonts w:ascii="仿宋" w:eastAsia="仿宋" w:cs="仿宋"/>
          <w:color w:val="333333"/>
          <w:sz w:val="31"/>
        </w:rPr>
        <w:t>”</w:t>
      </w:r>
      <w:r>
        <w:rPr>
          <w:rFonts w:ascii="仿宋" w:eastAsia="仿宋" w:cs="仿宋"/>
          <w:color w:val="333333"/>
          <w:sz w:val="31"/>
        </w:rPr>
        <w:t>的原则，确保政务公开内容无涉及国家秘密和内部敏感事项。为本单位政务公开的准确性、权威性、完整性和时效性提供保障。</w:t>
      </w:r>
      <w:r>
        <w:rPr>
          <w:rFonts w:ascii="仿宋" w:eastAsia="仿宋" w:cs="仿宋"/>
          <w:color w:val="333333"/>
          <w:sz w:val="31"/>
        </w:rPr>
        <w:t> </w:t>
      </w:r>
    </w:p>
    <w:p w:rsidR="0036085E" w:rsidRDefault="0036085E">
      <w:pPr>
        <w:spacing w:line="554" w:lineRule="auto"/>
        <w:ind w:firstLine="620"/>
        <w:rPr>
          <w:rFonts w:ascii="仿宋" w:eastAsia="仿宋" w:cs="仿宋"/>
          <w:color w:val="333333"/>
          <w:sz w:val="31"/>
        </w:rPr>
      </w:pPr>
    </w:p>
    <w:p w:rsidR="0036085E" w:rsidRDefault="0032186C">
      <w:pPr>
        <w:spacing w:after="240" w:line="432" w:lineRule="auto"/>
        <w:ind w:firstLine="620"/>
        <w:rPr>
          <w:rFonts w:ascii="仿宋" w:eastAsia="仿宋" w:cs="仿宋"/>
          <w:b/>
          <w:color w:val="333333"/>
          <w:sz w:val="31"/>
        </w:rPr>
      </w:pPr>
      <w:r>
        <w:rPr>
          <w:rFonts w:ascii="仿宋" w:eastAsia="仿宋" w:cs="仿宋"/>
          <w:b/>
          <w:color w:val="333333"/>
          <w:sz w:val="31"/>
        </w:rPr>
        <w:t>二、主动公开政府信息情况</w:t>
      </w:r>
    </w:p>
    <w:tbl>
      <w:tblPr>
        <w:tblW w:w="0" w:type="auto"/>
        <w:tblInd w:w="108" w:type="dxa"/>
        <w:tblLook w:val="0000" w:firstRow="0" w:lastRow="0" w:firstColumn="0" w:lastColumn="0" w:noHBand="0" w:noVBand="0"/>
      </w:tblPr>
      <w:tblGrid>
        <w:gridCol w:w="2653"/>
        <w:gridCol w:w="1626"/>
        <w:gridCol w:w="1351"/>
        <w:gridCol w:w="1154"/>
        <w:gridCol w:w="1631"/>
      </w:tblGrid>
      <w:tr w:rsidR="0036085E">
        <w:trPr>
          <w:trHeight w:val="495"/>
        </w:trPr>
        <w:tc>
          <w:tcPr>
            <w:tcW w:w="9762"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36085E" w:rsidRDefault="0032186C">
            <w:pPr>
              <w:jc w:val="center"/>
              <w:rPr>
                <w:rFonts w:ascii="宋体" w:cs="宋体"/>
              </w:rPr>
            </w:pPr>
            <w:r>
              <w:rPr>
                <w:rFonts w:ascii="宋体" w:cs="宋体"/>
                <w:color w:val="000000"/>
                <w:sz w:val="20"/>
              </w:rPr>
              <w:t>第二十条第（一）项</w:t>
            </w:r>
          </w:p>
        </w:tc>
      </w:tr>
      <w:tr w:rsidR="0036085E">
        <w:trPr>
          <w:trHeight w:val="882"/>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信息内容</w:t>
            </w:r>
          </w:p>
        </w:tc>
        <w:tc>
          <w:tcPr>
            <w:tcW w:w="18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本年新</w:t>
            </w:r>
            <w:r>
              <w:rPr>
                <w:rFonts w:ascii="宋体" w:cs="宋体"/>
                <w:color w:val="000000"/>
                <w:sz w:val="20"/>
              </w:rPr>
              <w:br/>
              <w:t>制作数量</w:t>
            </w:r>
          </w:p>
        </w:tc>
        <w:tc>
          <w:tcPr>
            <w:tcW w:w="2893" w:type="dxa"/>
            <w:gridSpan w:val="2"/>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本年新</w:t>
            </w:r>
            <w:r>
              <w:rPr>
                <w:rFonts w:ascii="宋体" w:cs="宋体"/>
                <w:color w:val="000000"/>
                <w:sz w:val="20"/>
              </w:rPr>
              <w:br/>
              <w:t>公开数量</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对外公开总数量</w:t>
            </w:r>
          </w:p>
        </w:tc>
      </w:tr>
      <w:tr w:rsidR="0036085E">
        <w:trPr>
          <w:trHeight w:val="523"/>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规章</w:t>
            </w:r>
          </w:p>
        </w:tc>
        <w:tc>
          <w:tcPr>
            <w:tcW w:w="18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289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w:t>
            </w:r>
            <w:r>
              <w:rPr>
                <w:rFonts w:ascii="宋体" w:cs="宋体"/>
                <w:color w:val="000000"/>
                <w:sz w:val="20"/>
              </w:rPr>
              <w:t>0</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r>
      <w:tr w:rsidR="0036085E">
        <w:trPr>
          <w:trHeight w:val="471"/>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规范性文件</w:t>
            </w:r>
          </w:p>
        </w:tc>
        <w:tc>
          <w:tcPr>
            <w:tcW w:w="187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289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w:t>
            </w:r>
            <w:r>
              <w:rPr>
                <w:rFonts w:ascii="宋体" w:cs="宋体"/>
                <w:color w:val="000000"/>
                <w:sz w:val="20"/>
              </w:rPr>
              <w:t>0</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r>
      <w:tr w:rsidR="0036085E">
        <w:trPr>
          <w:trHeight w:val="480"/>
        </w:trPr>
        <w:tc>
          <w:tcPr>
            <w:tcW w:w="9762" w:type="dxa"/>
            <w:gridSpan w:val="5"/>
            <w:tcBorders>
              <w:top w:val="single" w:sz="2" w:space="0" w:color="000000"/>
              <w:left w:val="single" w:sz="8" w:space="0" w:color="000000"/>
              <w:bottom w:val="single" w:sz="8" w:space="0" w:color="000000"/>
              <w:right w:val="single" w:sz="8" w:space="0" w:color="000000"/>
            </w:tcBorders>
            <w:shd w:val="clear" w:color="auto" w:fill="C6D9F1"/>
            <w:vAlign w:val="center"/>
          </w:tcPr>
          <w:p w:rsidR="0036085E" w:rsidRDefault="0032186C">
            <w:pPr>
              <w:jc w:val="center"/>
              <w:rPr>
                <w:rFonts w:ascii="宋体" w:cs="宋体"/>
              </w:rPr>
            </w:pPr>
            <w:r>
              <w:rPr>
                <w:rFonts w:ascii="宋体" w:cs="宋体"/>
                <w:color w:val="000000"/>
                <w:sz w:val="20"/>
              </w:rPr>
              <w:t>第二十条第（五）项</w:t>
            </w:r>
          </w:p>
        </w:tc>
      </w:tr>
      <w:tr w:rsidR="0036085E">
        <w:trPr>
          <w:trHeight w:val="634"/>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信息内容</w:t>
            </w:r>
          </w:p>
        </w:tc>
        <w:tc>
          <w:tcPr>
            <w:tcW w:w="18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上一年项目数量</w:t>
            </w:r>
          </w:p>
        </w:tc>
        <w:tc>
          <w:tcPr>
            <w:tcW w:w="2893" w:type="dxa"/>
            <w:gridSpan w:val="2"/>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本年增/减</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处理决定数量</w:t>
            </w:r>
          </w:p>
        </w:tc>
      </w:tr>
      <w:tr w:rsidR="0036085E">
        <w:trPr>
          <w:trHeight w:val="528"/>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行政许可</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12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w:t>
            </w:r>
            <w:r w:rsidR="00D348F8">
              <w:rPr>
                <w:rFonts w:ascii="宋体" w:cs="宋体" w:hint="eastAsia"/>
                <w:color w:val="000000"/>
                <w:sz w:val="20"/>
              </w:rPr>
              <w:t>0</w:t>
            </w:r>
            <w:bookmarkStart w:id="0" w:name="_GoBack"/>
            <w:bookmarkEnd w:id="0"/>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r>
      <w:tr w:rsidR="0036085E">
        <w:trPr>
          <w:trHeight w:val="550"/>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其他对外管理服务事项</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12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r>
      <w:tr w:rsidR="0036085E">
        <w:trPr>
          <w:trHeight w:val="406"/>
        </w:trPr>
        <w:tc>
          <w:tcPr>
            <w:tcW w:w="9762" w:type="dxa"/>
            <w:gridSpan w:val="5"/>
            <w:tcBorders>
              <w:top w:val="single" w:sz="2" w:space="0" w:color="000000"/>
              <w:left w:val="single" w:sz="8" w:space="0" w:color="000000"/>
              <w:bottom w:val="single" w:sz="8" w:space="0" w:color="000000"/>
              <w:right w:val="single" w:sz="8" w:space="0" w:color="000000"/>
            </w:tcBorders>
            <w:shd w:val="clear" w:color="auto" w:fill="C6D9F1"/>
            <w:vAlign w:val="center"/>
          </w:tcPr>
          <w:p w:rsidR="0036085E" w:rsidRDefault="0032186C">
            <w:pPr>
              <w:jc w:val="center"/>
              <w:rPr>
                <w:rFonts w:ascii="宋体" w:cs="宋体"/>
              </w:rPr>
            </w:pPr>
            <w:r>
              <w:rPr>
                <w:rFonts w:ascii="宋体" w:cs="宋体"/>
                <w:color w:val="000000"/>
                <w:sz w:val="20"/>
              </w:rPr>
              <w:t>第二十条第（六）项</w:t>
            </w:r>
          </w:p>
        </w:tc>
      </w:tr>
      <w:tr w:rsidR="0036085E">
        <w:trPr>
          <w:trHeight w:val="634"/>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信息内容</w:t>
            </w:r>
          </w:p>
        </w:tc>
        <w:tc>
          <w:tcPr>
            <w:tcW w:w="187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上一年项目数量</w:t>
            </w:r>
          </w:p>
        </w:tc>
        <w:tc>
          <w:tcPr>
            <w:tcW w:w="2893" w:type="dxa"/>
            <w:gridSpan w:val="2"/>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本年增/减</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处理决定数量</w:t>
            </w:r>
          </w:p>
        </w:tc>
      </w:tr>
      <w:tr w:rsidR="0036085E">
        <w:trPr>
          <w:trHeight w:val="430"/>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行政处罚</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5</w:t>
            </w:r>
          </w:p>
        </w:tc>
        <w:tc>
          <w:tcPr>
            <w:tcW w:w="12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比2019年增加4件</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9</w:t>
            </w:r>
          </w:p>
        </w:tc>
      </w:tr>
      <w:tr w:rsidR="0036085E">
        <w:trPr>
          <w:trHeight w:val="409"/>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行政强制</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12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1881"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r>
      <w:tr w:rsidR="0036085E">
        <w:trPr>
          <w:trHeight w:val="474"/>
        </w:trPr>
        <w:tc>
          <w:tcPr>
            <w:tcW w:w="9762" w:type="dxa"/>
            <w:gridSpan w:val="5"/>
            <w:tcBorders>
              <w:top w:val="single" w:sz="2" w:space="0" w:color="000000"/>
              <w:left w:val="single" w:sz="8" w:space="0" w:color="000000"/>
              <w:bottom w:val="single" w:sz="8" w:space="0" w:color="000000"/>
              <w:right w:val="single" w:sz="8" w:space="0" w:color="000000"/>
            </w:tcBorders>
            <w:shd w:val="clear" w:color="auto" w:fill="C6D9F1"/>
            <w:vAlign w:val="center"/>
          </w:tcPr>
          <w:p w:rsidR="0036085E" w:rsidRDefault="0032186C">
            <w:pPr>
              <w:jc w:val="center"/>
              <w:rPr>
                <w:rFonts w:ascii="宋体" w:cs="宋体"/>
              </w:rPr>
            </w:pPr>
            <w:r>
              <w:rPr>
                <w:rFonts w:ascii="宋体" w:cs="宋体"/>
                <w:color w:val="000000"/>
                <w:sz w:val="20"/>
              </w:rPr>
              <w:t>第二十条第（八）项</w:t>
            </w:r>
          </w:p>
        </w:tc>
      </w:tr>
      <w:tr w:rsidR="0036085E">
        <w:trPr>
          <w:trHeight w:val="270"/>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信息内容</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上一年项目数量</w:t>
            </w:r>
          </w:p>
        </w:tc>
        <w:tc>
          <w:tcPr>
            <w:tcW w:w="3146" w:type="dxa"/>
            <w:gridSpan w:val="2"/>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本年增/减</w:t>
            </w:r>
          </w:p>
        </w:tc>
      </w:tr>
      <w:tr w:rsidR="0036085E">
        <w:trPr>
          <w:trHeight w:val="551"/>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行政事业性收费</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0</w:t>
            </w:r>
          </w:p>
        </w:tc>
        <w:tc>
          <w:tcPr>
            <w:tcW w:w="3146"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0</w:t>
            </w:r>
            <w:r>
              <w:rPr>
                <w:rFonts w:ascii="宋体" w:cs="宋体"/>
                <w:color w:val="000000"/>
                <w:sz w:val="20"/>
              </w:rPr>
              <w:t> </w:t>
            </w:r>
          </w:p>
        </w:tc>
      </w:tr>
      <w:tr w:rsidR="0036085E">
        <w:trPr>
          <w:trHeight w:val="476"/>
        </w:trPr>
        <w:tc>
          <w:tcPr>
            <w:tcW w:w="9762" w:type="dxa"/>
            <w:gridSpan w:val="5"/>
            <w:tcBorders>
              <w:top w:val="single" w:sz="2" w:space="0" w:color="000000"/>
              <w:left w:val="single" w:sz="8" w:space="0" w:color="000000"/>
              <w:bottom w:val="single" w:sz="8" w:space="0" w:color="000000"/>
              <w:right w:val="single" w:sz="8" w:space="0" w:color="000000"/>
            </w:tcBorders>
            <w:shd w:val="clear" w:color="auto" w:fill="C6D9F1"/>
            <w:vAlign w:val="center"/>
          </w:tcPr>
          <w:p w:rsidR="0036085E" w:rsidRDefault="0032186C">
            <w:pPr>
              <w:jc w:val="center"/>
              <w:rPr>
                <w:rFonts w:ascii="宋体" w:cs="宋体"/>
              </w:rPr>
            </w:pPr>
            <w:r>
              <w:rPr>
                <w:rFonts w:ascii="宋体" w:cs="宋体"/>
                <w:color w:val="000000"/>
                <w:sz w:val="20"/>
              </w:rPr>
              <w:t>第二十条第（九）项</w:t>
            </w:r>
          </w:p>
        </w:tc>
      </w:tr>
      <w:tr w:rsidR="0036085E">
        <w:trPr>
          <w:trHeight w:val="585"/>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信息内容</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采购项目数量</w:t>
            </w:r>
          </w:p>
        </w:tc>
        <w:tc>
          <w:tcPr>
            <w:tcW w:w="3146" w:type="dxa"/>
            <w:gridSpan w:val="2"/>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proofErr w:type="gramStart"/>
            <w:r>
              <w:rPr>
                <w:rFonts w:ascii="宋体" w:cs="宋体"/>
                <w:color w:val="000000"/>
                <w:sz w:val="20"/>
              </w:rPr>
              <w:t>采购总</w:t>
            </w:r>
            <w:proofErr w:type="gramEnd"/>
            <w:r>
              <w:rPr>
                <w:rFonts w:ascii="宋体" w:cs="宋体"/>
                <w:color w:val="000000"/>
                <w:sz w:val="20"/>
              </w:rPr>
              <w:t>金额</w:t>
            </w:r>
          </w:p>
        </w:tc>
      </w:tr>
      <w:tr w:rsidR="0036085E">
        <w:trPr>
          <w:trHeight w:val="539"/>
        </w:trPr>
        <w:tc>
          <w:tcPr>
            <w:tcW w:w="311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政府集中采购</w:t>
            </w:r>
          </w:p>
        </w:tc>
        <w:tc>
          <w:tcPr>
            <w:tcW w:w="3503"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 xml:space="preserve">　49</w:t>
            </w:r>
          </w:p>
        </w:tc>
        <w:tc>
          <w:tcPr>
            <w:tcW w:w="3146"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4"/>
              </w:rPr>
              <w:t>485349元</w:t>
            </w:r>
          </w:p>
        </w:tc>
      </w:tr>
    </w:tbl>
    <w:p w:rsidR="0036085E" w:rsidRDefault="0032186C" w:rsidP="00A31007">
      <w:pPr>
        <w:spacing w:after="240" w:line="432" w:lineRule="auto"/>
        <w:ind w:firstLineChars="200" w:firstLine="622"/>
        <w:rPr>
          <w:rFonts w:ascii="仿宋" w:eastAsia="仿宋" w:cs="仿宋"/>
          <w:b/>
          <w:color w:val="333333"/>
          <w:sz w:val="31"/>
        </w:rPr>
      </w:pPr>
      <w:r>
        <w:rPr>
          <w:rFonts w:ascii="仿宋" w:eastAsia="仿宋" w:cs="仿宋"/>
          <w:b/>
          <w:color w:val="333333"/>
          <w:sz w:val="31"/>
        </w:rPr>
        <w:lastRenderedPageBreak/>
        <w:t>三、收到和处理政府信息公开申请情况</w:t>
      </w:r>
    </w:p>
    <w:tbl>
      <w:tblPr>
        <w:tblW w:w="0" w:type="auto"/>
        <w:tblInd w:w="108" w:type="dxa"/>
        <w:tblLook w:val="0000" w:firstRow="0" w:lastRow="0" w:firstColumn="0" w:lastColumn="0" w:noHBand="0" w:noVBand="0"/>
      </w:tblPr>
      <w:tblGrid>
        <w:gridCol w:w="616"/>
        <w:gridCol w:w="848"/>
        <w:gridCol w:w="1839"/>
        <w:gridCol w:w="752"/>
        <w:gridCol w:w="702"/>
        <w:gridCol w:w="702"/>
        <w:gridCol w:w="752"/>
        <w:gridCol w:w="887"/>
        <w:gridCol w:w="666"/>
        <w:gridCol w:w="651"/>
      </w:tblGrid>
      <w:tr w:rsidR="0036085E">
        <w:trPr>
          <w:trHeight w:val="1"/>
        </w:trPr>
        <w:tc>
          <w:tcPr>
            <w:tcW w:w="347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（本列数据的勾</w:t>
            </w:r>
            <w:proofErr w:type="gramStart"/>
            <w:r>
              <w:rPr>
                <w:rFonts w:ascii="宋体" w:cs="宋体"/>
                <w:color w:val="000000"/>
                <w:sz w:val="20"/>
              </w:rPr>
              <w:t>稽</w:t>
            </w:r>
            <w:proofErr w:type="gramEnd"/>
            <w:r>
              <w:rPr>
                <w:rFonts w:ascii="宋体" w:cs="宋体"/>
                <w:color w:val="000000"/>
                <w:sz w:val="20"/>
              </w:rPr>
              <w:t>关系为：第一项加第二项之和，等于第三项加第四项之和）</w:t>
            </w:r>
          </w:p>
        </w:tc>
        <w:tc>
          <w:tcPr>
            <w:tcW w:w="5592" w:type="dxa"/>
            <w:gridSpan w:val="7"/>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申请人情况</w:t>
            </w:r>
          </w:p>
        </w:tc>
      </w:tr>
      <w:tr w:rsidR="0036085E">
        <w:trPr>
          <w:trHeight w:val="1"/>
        </w:trPr>
        <w:tc>
          <w:tcPr>
            <w:tcW w:w="3479"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25" w:type="dxa"/>
            <w:vMerge w:val="restart"/>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自然人</w:t>
            </w:r>
          </w:p>
        </w:tc>
        <w:tc>
          <w:tcPr>
            <w:tcW w:w="4065" w:type="dxa"/>
            <w:gridSpan w:val="5"/>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法人或其他组织</w:t>
            </w:r>
          </w:p>
        </w:tc>
        <w:tc>
          <w:tcPr>
            <w:tcW w:w="702"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总计</w:t>
            </w:r>
          </w:p>
        </w:tc>
      </w:tr>
      <w:tr w:rsidR="0036085E">
        <w:trPr>
          <w:trHeight w:val="1"/>
        </w:trPr>
        <w:tc>
          <w:tcPr>
            <w:tcW w:w="3479" w:type="dxa"/>
            <w:gridSpan w:val="3"/>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2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商业企业</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科研机构</w:t>
            </w:r>
          </w:p>
        </w:tc>
        <w:tc>
          <w:tcPr>
            <w:tcW w:w="82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社会公益组织</w:t>
            </w:r>
          </w:p>
        </w:tc>
        <w:tc>
          <w:tcPr>
            <w:tcW w:w="990"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法律服务机构</w:t>
            </w:r>
          </w:p>
        </w:tc>
        <w:tc>
          <w:tcPr>
            <w:tcW w:w="720"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其他</w:t>
            </w:r>
          </w:p>
        </w:tc>
        <w:tc>
          <w:tcPr>
            <w:tcW w:w="702"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6085E"/>
        </w:tc>
      </w:tr>
      <w:tr w:rsidR="0036085E">
        <w:trPr>
          <w:trHeight w:val="1"/>
        </w:trPr>
        <w:tc>
          <w:tcPr>
            <w:tcW w:w="3479" w:type="dxa"/>
            <w:gridSpan w:val="3"/>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一、本年新收政府信息公开申请数量</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1</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pPr>
            <w:r w:rsidRPr="00C72810">
              <w:rPr>
                <w:rFonts w:ascii="Calibri" w:eastAsia="Calibri" w:hAnsi="Calibri" w:cs="Calibri"/>
                <w:color w:val="000000"/>
              </w:rPr>
              <w:t>1</w:t>
            </w:r>
          </w:p>
        </w:tc>
      </w:tr>
      <w:tr w:rsidR="0036085E">
        <w:trPr>
          <w:trHeight w:val="1"/>
        </w:trPr>
        <w:tc>
          <w:tcPr>
            <w:tcW w:w="3479" w:type="dxa"/>
            <w:gridSpan w:val="3"/>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二、上年结转政府信息公开申请数量</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val="restart"/>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三、本年度办理结果</w:t>
            </w:r>
          </w:p>
        </w:tc>
        <w:tc>
          <w:tcPr>
            <w:tcW w:w="2985"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（一）予以公开</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1</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1</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2985"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（二）部分公开（区分处理的，只计这一情形，不计其他情形）</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val="restart"/>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（三）不予公开</w:t>
            </w:r>
          </w:p>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1.属于国家秘密</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2.其他法律行政法规禁止公开</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3.危及</w:t>
            </w:r>
            <w:r>
              <w:rPr>
                <w:rFonts w:ascii="楷体" w:eastAsia="楷体" w:cs="楷体"/>
                <w:color w:val="000000"/>
                <w:sz w:val="20"/>
              </w:rPr>
              <w:t>“</w:t>
            </w:r>
            <w:r>
              <w:rPr>
                <w:rFonts w:ascii="楷体" w:eastAsia="楷体" w:cs="楷体"/>
                <w:color w:val="000000"/>
                <w:sz w:val="20"/>
              </w:rPr>
              <w:t>三安全</w:t>
            </w:r>
            <w:proofErr w:type="gramStart"/>
            <w:r>
              <w:rPr>
                <w:rFonts w:ascii="楷体" w:eastAsia="楷体" w:cs="楷体"/>
                <w:color w:val="000000"/>
                <w:sz w:val="20"/>
              </w:rPr>
              <w:t>一</w:t>
            </w:r>
            <w:proofErr w:type="gramEnd"/>
            <w:r>
              <w:rPr>
                <w:rFonts w:ascii="楷体" w:eastAsia="楷体" w:cs="楷体"/>
                <w:color w:val="000000"/>
                <w:sz w:val="20"/>
              </w:rPr>
              <w:t>稳定</w:t>
            </w:r>
            <w:r>
              <w:rPr>
                <w:rFonts w:ascii="楷体" w:eastAsia="楷体" w:cs="楷体"/>
                <w:color w:val="000000"/>
                <w:sz w:val="20"/>
              </w:rPr>
              <w:t>”</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4.保护第三方合法权益</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5.属于三类内部事务信息</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6.属于四类过程性信息</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7.属于行政执法案卷</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8.属于行政查询事项</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val="restart"/>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（四）无法提供</w:t>
            </w:r>
          </w:p>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1.本机关不掌握相关政府信息</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2.没有现成信息需要另行制作</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3.补正后申请内容仍不明确</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val="restart"/>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（五）</w:t>
            </w:r>
            <w:proofErr w:type="gramStart"/>
            <w:r>
              <w:rPr>
                <w:rFonts w:ascii="楷体" w:eastAsia="楷体" w:cs="楷体"/>
                <w:color w:val="000000"/>
                <w:sz w:val="20"/>
              </w:rPr>
              <w:t>不予处理</w:t>
            </w:r>
            <w:proofErr w:type="gramEnd"/>
          </w:p>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1.信访举报投诉类申请</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2.重复申请</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3.要求提供公开出版物</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4.无正当理由大量反复申请</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855"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213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5.要求行政机关确认或重新出具已获取信息</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2985"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（六）其他处理</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r>
      <w:tr w:rsidR="0036085E">
        <w:trPr>
          <w:trHeight w:val="1"/>
        </w:trPr>
        <w:tc>
          <w:tcPr>
            <w:tcW w:w="49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2985"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pPr>
            <w:r>
              <w:rPr>
                <w:rFonts w:ascii="楷体" w:eastAsia="楷体" w:cs="楷体"/>
                <w:color w:val="000000"/>
                <w:sz w:val="20"/>
              </w:rPr>
              <w:t>（七）总计</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hint="eastAsia"/>
                <w:color w:val="000000"/>
              </w:rPr>
              <w:t>1</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hint="eastAsia"/>
                <w:color w:val="000000"/>
              </w:rPr>
              <w:t>1</w:t>
            </w:r>
          </w:p>
        </w:tc>
      </w:tr>
      <w:tr w:rsidR="0036085E">
        <w:trPr>
          <w:trHeight w:val="1"/>
        </w:trPr>
        <w:tc>
          <w:tcPr>
            <w:tcW w:w="3479" w:type="dxa"/>
            <w:gridSpan w:val="3"/>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0"/>
              </w:rPr>
              <w:t>四、结转下年度继续办理</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6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82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99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2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jc w:val="center"/>
              <w:rPr>
                <w:rFonts w:ascii="Calibri" w:eastAsia="Calibri" w:hAnsi="Calibri" w:cs="Calibri"/>
                <w:color w:val="000000"/>
              </w:rPr>
            </w:pPr>
            <w:r w:rsidRPr="00C72810">
              <w:rPr>
                <w:rFonts w:ascii="Calibri" w:eastAsia="Calibri" w:hAnsi="Calibri" w:cs="Calibri"/>
                <w:color w:val="000000"/>
              </w:rPr>
              <w:t>0</w:t>
            </w:r>
          </w:p>
        </w:tc>
        <w:tc>
          <w:tcPr>
            <w:tcW w:w="702"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Pr="00C72810" w:rsidRDefault="0032186C" w:rsidP="00C72810">
            <w:pPr>
              <w:ind w:firstLineChars="100" w:firstLine="210"/>
              <w:rPr>
                <w:rFonts w:ascii="Calibri" w:eastAsia="Calibri" w:hAnsi="Calibri" w:cs="Calibri"/>
                <w:color w:val="000000"/>
              </w:rPr>
            </w:pPr>
            <w:r w:rsidRPr="00C72810">
              <w:rPr>
                <w:rFonts w:ascii="Calibri" w:eastAsia="Calibri" w:hAnsi="Calibri" w:cs="Calibri"/>
                <w:color w:val="000000"/>
              </w:rPr>
              <w:t>0</w:t>
            </w:r>
          </w:p>
        </w:tc>
      </w:tr>
    </w:tbl>
    <w:p w:rsidR="0036085E" w:rsidRDefault="0036085E">
      <w:pPr>
        <w:spacing w:line="432" w:lineRule="auto"/>
        <w:ind w:firstLine="480"/>
        <w:rPr>
          <w:rFonts w:ascii="宋体" w:cs="宋体"/>
          <w:color w:val="000000"/>
          <w:sz w:val="24"/>
        </w:rPr>
      </w:pPr>
    </w:p>
    <w:p w:rsidR="0036085E" w:rsidRDefault="0032186C">
      <w:pPr>
        <w:spacing w:after="240" w:line="432" w:lineRule="auto"/>
        <w:ind w:firstLine="620"/>
        <w:rPr>
          <w:rFonts w:ascii="仿宋" w:eastAsia="仿宋" w:cs="仿宋"/>
          <w:b/>
          <w:color w:val="333333"/>
          <w:sz w:val="31"/>
        </w:rPr>
      </w:pPr>
      <w:r>
        <w:rPr>
          <w:rFonts w:ascii="仿宋" w:eastAsia="仿宋" w:cs="仿宋"/>
          <w:b/>
          <w:color w:val="333333"/>
          <w:sz w:val="31"/>
        </w:rPr>
        <w:t>四、政府信息公开行政复议、行政诉讼情况</w:t>
      </w:r>
    </w:p>
    <w:p w:rsidR="0036085E" w:rsidRDefault="0036085E">
      <w:pPr>
        <w:spacing w:line="432" w:lineRule="auto"/>
        <w:ind w:firstLine="480"/>
        <w:rPr>
          <w:rFonts w:ascii="宋体" w:cs="宋体"/>
          <w:color w:val="000000"/>
          <w:sz w:val="24"/>
        </w:rPr>
      </w:pPr>
    </w:p>
    <w:tbl>
      <w:tblPr>
        <w:tblW w:w="0" w:type="auto"/>
        <w:tblInd w:w="108" w:type="dxa"/>
        <w:tblLook w:val="0000" w:firstRow="0" w:lastRow="0" w:firstColumn="0" w:lastColumn="0" w:noHBand="0" w:noVBand="0"/>
      </w:tblPr>
      <w:tblGrid>
        <w:gridCol w:w="561"/>
        <w:gridCol w:w="561"/>
        <w:gridCol w:w="561"/>
        <w:gridCol w:w="560"/>
        <w:gridCol w:w="602"/>
        <w:gridCol w:w="519"/>
        <w:gridCol w:w="561"/>
        <w:gridCol w:w="561"/>
        <w:gridCol w:w="561"/>
        <w:gridCol w:w="561"/>
        <w:gridCol w:w="561"/>
        <w:gridCol w:w="561"/>
        <w:gridCol w:w="561"/>
        <w:gridCol w:w="562"/>
        <w:gridCol w:w="562"/>
      </w:tblGrid>
      <w:tr w:rsidR="0036085E">
        <w:trPr>
          <w:trHeight w:val="1"/>
        </w:trPr>
        <w:tc>
          <w:tcPr>
            <w:tcW w:w="3074"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行政复议</w:t>
            </w:r>
          </w:p>
        </w:tc>
        <w:tc>
          <w:tcPr>
            <w:tcW w:w="5997" w:type="dxa"/>
            <w:gridSpan w:val="10"/>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行政诉讼</w:t>
            </w:r>
          </w:p>
        </w:tc>
      </w:tr>
      <w:tr w:rsidR="0036085E">
        <w:trPr>
          <w:trHeight w:val="1"/>
        </w:trPr>
        <w:tc>
          <w:tcPr>
            <w:tcW w:w="604" w:type="dxa"/>
            <w:vMerge w:val="restart"/>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结果维持</w:t>
            </w:r>
          </w:p>
        </w:tc>
        <w:tc>
          <w:tcPr>
            <w:tcW w:w="604" w:type="dxa"/>
            <w:vMerge w:val="restart"/>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结果纠正</w:t>
            </w:r>
          </w:p>
        </w:tc>
        <w:tc>
          <w:tcPr>
            <w:tcW w:w="604"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其他结果</w:t>
            </w:r>
          </w:p>
        </w:tc>
        <w:tc>
          <w:tcPr>
            <w:tcW w:w="604"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尚未审结</w:t>
            </w:r>
          </w:p>
        </w:tc>
        <w:tc>
          <w:tcPr>
            <w:tcW w:w="658" w:type="dxa"/>
            <w:vMerge w:val="restart"/>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总计</w:t>
            </w:r>
          </w:p>
        </w:tc>
        <w:tc>
          <w:tcPr>
            <w:tcW w:w="2970" w:type="dxa"/>
            <w:gridSpan w:val="5"/>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未经复议直接起诉</w:t>
            </w:r>
          </w:p>
        </w:tc>
        <w:tc>
          <w:tcPr>
            <w:tcW w:w="3027" w:type="dxa"/>
            <w:gridSpan w:val="5"/>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复议后起诉</w:t>
            </w:r>
          </w:p>
        </w:tc>
      </w:tr>
      <w:tr w:rsidR="0036085E">
        <w:trPr>
          <w:trHeight w:val="1"/>
        </w:trPr>
        <w:tc>
          <w:tcPr>
            <w:tcW w:w="604" w:type="dxa"/>
            <w:vMerge/>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6085E"/>
        </w:tc>
        <w:tc>
          <w:tcPr>
            <w:tcW w:w="604" w:type="dxa"/>
            <w:vMerge/>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604"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604"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658" w:type="dxa"/>
            <w:vMerge/>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6085E"/>
        </w:tc>
        <w:tc>
          <w:tcPr>
            <w:tcW w:w="55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结果维持</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结果纠正</w:t>
            </w:r>
          </w:p>
        </w:tc>
        <w:tc>
          <w:tcPr>
            <w:tcW w:w="60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其他结果</w:t>
            </w:r>
          </w:p>
        </w:tc>
        <w:tc>
          <w:tcPr>
            <w:tcW w:w="60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尚未审结</w:t>
            </w:r>
          </w:p>
        </w:tc>
        <w:tc>
          <w:tcPr>
            <w:tcW w:w="60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总计</w:t>
            </w:r>
          </w:p>
        </w:tc>
        <w:tc>
          <w:tcPr>
            <w:tcW w:w="60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结果维持</w:t>
            </w:r>
          </w:p>
        </w:tc>
        <w:tc>
          <w:tcPr>
            <w:tcW w:w="60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结果纠正</w:t>
            </w:r>
          </w:p>
        </w:tc>
        <w:tc>
          <w:tcPr>
            <w:tcW w:w="605"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其他结果</w:t>
            </w:r>
          </w:p>
        </w:tc>
        <w:tc>
          <w:tcPr>
            <w:tcW w:w="606"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尚未审结</w:t>
            </w:r>
          </w:p>
        </w:tc>
        <w:tc>
          <w:tcPr>
            <w:tcW w:w="606" w:type="dxa"/>
            <w:tcBorders>
              <w:top w:val="single" w:sz="8"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总计</w:t>
            </w:r>
          </w:p>
        </w:tc>
      </w:tr>
      <w:tr w:rsidR="0036085E">
        <w:trPr>
          <w:trHeight w:val="1"/>
        </w:trPr>
        <w:tc>
          <w:tcPr>
            <w:tcW w:w="604"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36085E" w:rsidRDefault="0032186C">
            <w:pPr>
              <w:jc w:val="center"/>
            </w:pPr>
            <w:r>
              <w:rPr>
                <w:rFonts w:ascii="宋体" w:cs="宋体"/>
                <w:color w:val="000000"/>
                <w:sz w:val="20"/>
              </w:rPr>
              <w:t> </w:t>
            </w:r>
            <w:r>
              <w:rPr>
                <w:rFonts w:ascii="Calibri" w:eastAsia="Calibri" w:hAnsi="Calibri" w:cs="Calibri"/>
                <w:color w:val="000000"/>
                <w:sz w:val="20"/>
              </w:rPr>
              <w:t>0</w:t>
            </w:r>
          </w:p>
        </w:tc>
        <w:tc>
          <w:tcPr>
            <w:tcW w:w="604"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pPr>
            <w:r>
              <w:rPr>
                <w:rFonts w:ascii="宋体" w:cs="宋体"/>
                <w:color w:val="000000"/>
                <w:sz w:val="20"/>
              </w:rPr>
              <w:t> </w:t>
            </w:r>
            <w:r>
              <w:rPr>
                <w:rFonts w:ascii="Calibri" w:eastAsia="Calibri" w:hAnsi="Calibri" w:cs="Calibri"/>
                <w:color w:val="000000"/>
                <w:sz w:val="20"/>
              </w:rPr>
              <w:t>0</w:t>
            </w:r>
          </w:p>
        </w:tc>
        <w:tc>
          <w:tcPr>
            <w:tcW w:w="604"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pPr>
            <w:r>
              <w:rPr>
                <w:rFonts w:ascii="宋体" w:cs="宋体"/>
                <w:color w:val="000000"/>
                <w:sz w:val="20"/>
              </w:rPr>
              <w:t> </w:t>
            </w:r>
            <w:r>
              <w:rPr>
                <w:rFonts w:ascii="Calibri" w:eastAsia="Calibri" w:hAnsi="Calibri" w:cs="Calibri"/>
                <w:color w:val="000000"/>
                <w:sz w:val="20"/>
              </w:rPr>
              <w:t>0</w:t>
            </w:r>
          </w:p>
        </w:tc>
        <w:tc>
          <w:tcPr>
            <w:tcW w:w="604"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pPr>
            <w:r>
              <w:rPr>
                <w:rFonts w:ascii="宋体" w:cs="宋体"/>
                <w:color w:val="000000"/>
                <w:sz w:val="20"/>
              </w:rPr>
              <w:t> </w:t>
            </w:r>
            <w:r>
              <w:rPr>
                <w:rFonts w:ascii="Calibri" w:eastAsia="Calibri" w:hAnsi="Calibri" w:cs="Calibri"/>
                <w:color w:val="000000"/>
                <w:sz w:val="20"/>
              </w:rPr>
              <w:t>0</w:t>
            </w:r>
          </w:p>
        </w:tc>
        <w:tc>
          <w:tcPr>
            <w:tcW w:w="658"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pPr>
            <w:r>
              <w:rPr>
                <w:rFonts w:ascii="宋体" w:cs="宋体"/>
                <w:color w:val="000000"/>
                <w:sz w:val="20"/>
              </w:rPr>
              <w:t> </w:t>
            </w:r>
            <w:r>
              <w:rPr>
                <w:rFonts w:ascii="Calibri" w:eastAsia="Calibri" w:hAnsi="Calibri" w:cs="Calibri"/>
                <w:color w:val="000000"/>
                <w:sz w:val="20"/>
              </w:rPr>
              <w:t>0</w:t>
            </w:r>
          </w:p>
        </w:tc>
        <w:tc>
          <w:tcPr>
            <w:tcW w:w="550"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0</w:t>
            </w:r>
            <w:r>
              <w:rPr>
                <w:rFonts w:ascii="宋体" w:cs="宋体"/>
                <w:color w:val="000000"/>
                <w:sz w:val="20"/>
              </w:rPr>
              <w:t> </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5"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0</w:t>
            </w:r>
            <w:r>
              <w:rPr>
                <w:rFonts w:ascii="宋体" w:cs="宋体"/>
                <w:color w:val="000000"/>
                <w:sz w:val="20"/>
              </w:rPr>
              <w:t> </w:t>
            </w:r>
          </w:p>
        </w:tc>
        <w:tc>
          <w:tcPr>
            <w:tcW w:w="60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center"/>
              <w:rPr>
                <w:rFonts w:ascii="宋体" w:cs="宋体"/>
              </w:rPr>
            </w:pPr>
            <w:r>
              <w:rPr>
                <w:rFonts w:ascii="宋体" w:cs="宋体"/>
                <w:color w:val="000000"/>
                <w:sz w:val="20"/>
              </w:rPr>
              <w:t> </w:t>
            </w:r>
            <w:r>
              <w:rPr>
                <w:rFonts w:ascii="宋体" w:cs="宋体"/>
                <w:color w:val="000000"/>
                <w:sz w:val="20"/>
              </w:rPr>
              <w:t>0</w:t>
            </w:r>
          </w:p>
        </w:tc>
        <w:tc>
          <w:tcPr>
            <w:tcW w:w="606" w:type="dxa"/>
            <w:tcBorders>
              <w:top w:val="single" w:sz="2" w:space="0" w:color="000000"/>
              <w:left w:val="single" w:sz="2" w:space="0" w:color="000000"/>
              <w:bottom w:val="single" w:sz="8" w:space="0" w:color="000000"/>
              <w:right w:val="single" w:sz="8" w:space="0" w:color="000000"/>
            </w:tcBorders>
            <w:shd w:val="clear" w:color="000000" w:fill="FFFFFF"/>
            <w:vAlign w:val="center"/>
          </w:tcPr>
          <w:p w:rsidR="0036085E" w:rsidRDefault="0032186C">
            <w:pPr>
              <w:jc w:val="left"/>
              <w:rPr>
                <w:rFonts w:ascii="宋体" w:cs="宋体"/>
              </w:rPr>
            </w:pPr>
            <w:r>
              <w:rPr>
                <w:rFonts w:ascii="宋体" w:cs="宋体"/>
                <w:color w:val="000000"/>
                <w:sz w:val="24"/>
              </w:rPr>
              <w:t>0</w:t>
            </w:r>
          </w:p>
        </w:tc>
      </w:tr>
    </w:tbl>
    <w:p w:rsidR="0036085E" w:rsidRDefault="0036085E">
      <w:pPr>
        <w:spacing w:line="432" w:lineRule="auto"/>
        <w:jc w:val="center"/>
        <w:rPr>
          <w:rFonts w:ascii="宋体" w:cs="宋体"/>
          <w:color w:val="000000"/>
          <w:sz w:val="24"/>
        </w:rPr>
      </w:pPr>
    </w:p>
    <w:p w:rsidR="0036085E" w:rsidRDefault="0032186C">
      <w:pPr>
        <w:spacing w:line="432" w:lineRule="auto"/>
        <w:ind w:firstLine="480"/>
        <w:rPr>
          <w:rFonts w:ascii="仿宋" w:eastAsia="仿宋" w:cs="仿宋"/>
          <w:b/>
          <w:color w:val="333333"/>
          <w:sz w:val="31"/>
        </w:rPr>
      </w:pPr>
      <w:r>
        <w:rPr>
          <w:rFonts w:ascii="仿宋" w:eastAsia="仿宋" w:cs="仿宋"/>
          <w:b/>
          <w:color w:val="333333"/>
          <w:sz w:val="31"/>
        </w:rPr>
        <w:t>五、存在的主要问题及改进措施</w:t>
      </w:r>
    </w:p>
    <w:p w:rsidR="0036085E" w:rsidRDefault="0032186C">
      <w:pPr>
        <w:spacing w:line="554" w:lineRule="auto"/>
        <w:ind w:firstLine="645"/>
        <w:jc w:val="left"/>
        <w:rPr>
          <w:rFonts w:ascii="仿宋" w:eastAsia="仿宋" w:cs="仿宋"/>
          <w:color w:val="333333"/>
          <w:sz w:val="31"/>
        </w:rPr>
      </w:pPr>
      <w:r>
        <w:rPr>
          <w:rFonts w:ascii="仿宋" w:eastAsia="仿宋" w:cs="仿宋"/>
          <w:color w:val="333333"/>
          <w:sz w:val="31"/>
        </w:rPr>
        <w:t>2020年，我局政府信息公开工作取得了明显成效，但目前仍存在一些不足和问题。如：通过海盐统计信息网公开信息的全面性、时效性、规范性仍需进一步增强。</w:t>
      </w:r>
    </w:p>
    <w:p w:rsidR="0036085E" w:rsidRDefault="0032186C">
      <w:pPr>
        <w:spacing w:line="554" w:lineRule="auto"/>
        <w:ind w:firstLine="645"/>
        <w:jc w:val="left"/>
        <w:rPr>
          <w:rFonts w:ascii="微软雅黑" w:eastAsia="微软雅黑" w:cs="微软雅黑"/>
          <w:color w:val="333333"/>
          <w:sz w:val="24"/>
        </w:rPr>
      </w:pPr>
      <w:r>
        <w:rPr>
          <w:rFonts w:ascii="仿宋" w:eastAsia="仿宋" w:cs="仿宋"/>
          <w:b/>
          <w:color w:val="333333"/>
          <w:sz w:val="31"/>
        </w:rPr>
        <w:t>一是丰富信息公开内容</w:t>
      </w:r>
      <w:r>
        <w:rPr>
          <w:rFonts w:ascii="仿宋" w:eastAsia="仿宋" w:cs="仿宋"/>
          <w:color w:val="333333"/>
          <w:sz w:val="31"/>
        </w:rPr>
        <w:t>。进一步提高对信息公开工作重要性的认识，不断优化统计服务意识，完善和拓展社会广泛关注领域指标数据的发布内容，进一步扩大统计信息公开的范围。</w:t>
      </w:r>
    </w:p>
    <w:p w:rsidR="0036085E" w:rsidRDefault="0032186C">
      <w:pPr>
        <w:spacing w:after="240" w:line="554" w:lineRule="auto"/>
        <w:ind w:firstLine="645"/>
        <w:jc w:val="left"/>
        <w:rPr>
          <w:rFonts w:ascii="仿宋" w:eastAsia="仿宋" w:cs="仿宋"/>
          <w:color w:val="333333"/>
          <w:sz w:val="31"/>
        </w:rPr>
      </w:pPr>
      <w:r>
        <w:rPr>
          <w:rFonts w:ascii="仿宋" w:eastAsia="仿宋" w:cs="仿宋"/>
          <w:b/>
          <w:color w:val="333333"/>
          <w:sz w:val="31"/>
        </w:rPr>
        <w:t>二是优化数据发布平台</w:t>
      </w:r>
      <w:r>
        <w:rPr>
          <w:rFonts w:ascii="仿宋" w:eastAsia="仿宋" w:cs="仿宋"/>
          <w:color w:val="333333"/>
          <w:sz w:val="31"/>
        </w:rPr>
        <w:t>。进一步完善海盐统计信息网等数据发布平台，不断充实内容，完善相关功能。</w:t>
      </w:r>
    </w:p>
    <w:p w:rsidR="0036085E" w:rsidRDefault="0032186C">
      <w:pPr>
        <w:spacing w:after="240" w:line="554" w:lineRule="auto"/>
        <w:ind w:firstLine="645"/>
        <w:jc w:val="left"/>
        <w:rPr>
          <w:rFonts w:ascii="仿宋" w:eastAsia="仿宋" w:cs="仿宋"/>
          <w:color w:val="333333"/>
          <w:sz w:val="31"/>
        </w:rPr>
      </w:pPr>
      <w:r>
        <w:rPr>
          <w:rFonts w:ascii="仿宋" w:eastAsia="仿宋" w:cs="仿宋"/>
          <w:b/>
          <w:color w:val="333333"/>
          <w:sz w:val="31"/>
        </w:rPr>
        <w:t>三是强化信息公开的及时性。</w:t>
      </w:r>
      <w:r>
        <w:rPr>
          <w:rFonts w:ascii="仿宋" w:eastAsia="仿宋" w:cs="仿宋"/>
          <w:color w:val="333333"/>
          <w:sz w:val="31"/>
        </w:rPr>
        <w:t>加快公开信息内容的收集、审核和对外公开，以便公众及时知晓相关信息。</w:t>
      </w:r>
    </w:p>
    <w:p w:rsidR="0036085E" w:rsidRDefault="0032186C">
      <w:pPr>
        <w:spacing w:line="554" w:lineRule="auto"/>
        <w:ind w:firstLine="645"/>
        <w:jc w:val="left"/>
        <w:rPr>
          <w:rFonts w:ascii="仿宋" w:eastAsia="仿宋" w:cs="仿宋"/>
          <w:color w:val="333333"/>
          <w:sz w:val="31"/>
        </w:rPr>
      </w:pPr>
      <w:r>
        <w:rPr>
          <w:rFonts w:ascii="仿宋" w:eastAsia="仿宋" w:cs="仿宋"/>
          <w:color w:val="333333"/>
          <w:sz w:val="31"/>
        </w:rPr>
        <w:lastRenderedPageBreak/>
        <w:t>2021年，我局将继续深入贯彻习近平新时代中国特色社会主义思想和党的十九大精神，认真落实县委、县政府决策部署，牢固树立创新、协调、绿色、开放、共享的发展理念，积极适应高质量发展需要；不断做好各项统计工作，积极主动服务海盐经济社会发展，加大主动公开力度，完善公开工作机制，加强数据解读回应，优化信息发布平台，全力提高政府统计信息公开工作的质量和水平。</w:t>
      </w:r>
    </w:p>
    <w:p w:rsidR="0036085E" w:rsidRDefault="0032186C">
      <w:pPr>
        <w:spacing w:line="554" w:lineRule="auto"/>
        <w:ind w:firstLine="645"/>
        <w:jc w:val="left"/>
        <w:rPr>
          <w:rFonts w:ascii="微软雅黑" w:eastAsia="微软雅黑" w:cs="微软雅黑"/>
          <w:color w:val="333333"/>
          <w:sz w:val="24"/>
        </w:rPr>
      </w:pPr>
      <w:r>
        <w:rPr>
          <w:rFonts w:ascii="仿宋" w:eastAsia="仿宋" w:cs="仿宋"/>
          <w:b/>
          <w:color w:val="333333"/>
          <w:sz w:val="31"/>
        </w:rPr>
        <w:t>六、其他需要报告的事项</w:t>
      </w:r>
    </w:p>
    <w:p w:rsidR="0036085E" w:rsidRDefault="0032186C">
      <w:pPr>
        <w:spacing w:line="432" w:lineRule="auto"/>
        <w:ind w:firstLine="787"/>
        <w:rPr>
          <w:rFonts w:ascii="仿宋" w:eastAsia="仿宋" w:cs="仿宋"/>
          <w:color w:val="333333"/>
          <w:sz w:val="31"/>
        </w:rPr>
      </w:pPr>
      <w:r>
        <w:rPr>
          <w:rFonts w:ascii="仿宋" w:eastAsia="仿宋" w:cs="仿宋"/>
          <w:color w:val="333333"/>
          <w:sz w:val="31"/>
        </w:rPr>
        <w:t>无其他报告事项。</w:t>
      </w:r>
    </w:p>
    <w:p w:rsidR="0036085E" w:rsidRDefault="0036085E">
      <w:pPr>
        <w:rPr>
          <w:rFonts w:ascii="Calibri" w:eastAsia="Calibri" w:hAnsi="Calibri" w:cs="Calibri"/>
        </w:rPr>
      </w:pPr>
    </w:p>
    <w:sectPr w:rsidR="0036085E">
      <w:pgSz w:w="11907" w:h="16839"/>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variable"/>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characterSpacingControl w:val="doNotCompress"/>
  <w:compat>
    <w:spaceForUL/>
    <w:useFELayout/>
    <w:compatSetting w:name="compatibilityMode" w:uri="http://schemas.microsoft.com/office/word" w:val="12"/>
  </w:compat>
  <w:rsids>
    <w:rsidRoot w:val="0036085E"/>
    <w:rsid w:val="0032186C"/>
    <w:rsid w:val="0036085E"/>
    <w:rsid w:val="00A31007"/>
    <w:rsid w:val="00C72810"/>
    <w:rsid w:val="00CF77D1"/>
    <w:rsid w:val="00D3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pPr>
      <w:widowControl w:val="0"/>
      <w:spacing w:after="120" w:line="480" w:lineRule="auto"/>
      <w:ind w:leftChars="200" w:left="200"/>
      <w:jc w:val="both"/>
    </w:pPr>
    <w:rPr>
      <w:rFonts w:ascii="Calibri" w:hAnsi="Calibri" w:cs="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463</Words>
  <Characters>2645</Characters>
  <Application>Microsoft Office Word</Application>
  <DocSecurity>0</DocSecurity>
  <Lines>22</Lines>
  <Paragraphs>6</Paragraphs>
  <ScaleCrop>false</ScaleCrop>
  <Company>Microsoft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2022-01-25T08:10:00Z</dcterms:created>
  <dcterms:modified xsi:type="dcterms:W3CDTF">2022-01-25T08:36:00Z</dcterms:modified>
</cp:coreProperties>
</file>