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40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附件5</w:t>
      </w:r>
    </w:p>
    <w:p>
      <w:pPr>
        <w:pStyle w:val="3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海盐县2019年政府性基金支出预算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2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金额单位：万元</w:t>
      </w:r>
    </w:p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72"/>
        <w:gridCol w:w="1729"/>
        <w:gridCol w:w="1730"/>
        <w:gridCol w:w="17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支 出 项 目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2019年预算数</w:t>
            </w:r>
          </w:p>
        </w:tc>
        <w:tc>
          <w:tcPr>
            <w:tcW w:w="17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2018年预计           执行数</w:t>
            </w:r>
          </w:p>
        </w:tc>
        <w:tc>
          <w:tcPr>
            <w:tcW w:w="1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为上年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一、政府性基金支出合计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637237 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768340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82.9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（一）省市补助支出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492 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2000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24.6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（二）上年结转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400 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800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（三）当年地方安排预算支出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636345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765540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83.1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1.城乡社区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583308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694300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84.0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国有土地使用权出让收入及对应专项债务收入安排的支出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551108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665000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82.9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国有土地收益基金及对应专项债务收入安排的支出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15000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15000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农业土地开发资金及对应专项债务收入安排的支出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2200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1600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137.5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城市基础设施配套费及对应专项债务收入安排的支出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3000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4200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71.4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污水处理费及对应专项债务收入安排的支出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12000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8500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141.2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2.其他支出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37827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57540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65.7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彩票公益金及对应专项债务收入安排的支出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360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360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其他政府性基金及对应专项债务收入安排的支出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37467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57180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65.5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3.债务付息支出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15080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13650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110.5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地方政府专项债务付息支出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15080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13650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110.5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4.债务发行费用支出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130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260.0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      地方政府专项债务发行费用支出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130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50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260.0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二、转移性支出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47221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101426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46.6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（一）上解支出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（二）调出资金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45700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101000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45.2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（三）年终结余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>1521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426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357.0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3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  <w:t>支出合计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684458 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869766 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</w:rPr>
              <w:t xml:space="preserve">78.7 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A76AC"/>
    <w:rsid w:val="547A76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Body Text First Indent 2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2019-02-02T02:16:00Z</dcterms:created>
  <dc:creator>zj</dc:creator>
  <cp:lastModifiedBy>zj</cp:lastModifiedBy>
  <dcterms:modified xsi:type="dcterms:W3CDTF">2019-02-02T02:19:12Z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