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jc w:val="center"/>
        <w:rPr>
          <w:rFonts w:hint="eastAsia" w:ascii="宋体" w:hAnsi="宋体" w:cs="宋体"/>
          <w:color w:val="auto"/>
          <w:kern w:val="0"/>
          <w:sz w:val="22"/>
          <w:szCs w:val="22"/>
          <w:highlight w:val="none"/>
        </w:rPr>
      </w:pPr>
      <w:r>
        <w:rPr>
          <w:rFonts w:hint="eastAsia" w:ascii="宋体" w:hAnsi="宋体" w:cs="宋体"/>
          <w:b/>
          <w:bCs/>
          <w:color w:val="auto"/>
          <w:kern w:val="0"/>
          <w:sz w:val="32"/>
          <w:szCs w:val="32"/>
          <w:highlight w:val="none"/>
          <w:lang w:eastAsia="zh-CN"/>
        </w:rPr>
        <w:t>海盐县医疗保障局</w:t>
      </w:r>
      <w:r>
        <w:rPr>
          <w:rFonts w:hint="eastAsia" w:ascii="宋体" w:hAnsi="宋体" w:cs="宋体"/>
          <w:b/>
          <w:bCs/>
          <w:color w:val="auto"/>
          <w:kern w:val="0"/>
          <w:sz w:val="32"/>
          <w:szCs w:val="32"/>
          <w:highlight w:val="none"/>
          <w:lang w:val="en-US" w:eastAsia="zh-CN"/>
        </w:rPr>
        <w:t>2020</w:t>
      </w:r>
      <w:r>
        <w:rPr>
          <w:rFonts w:hint="eastAsia" w:ascii="宋体" w:hAnsi="宋体" w:cs="宋体"/>
          <w:b/>
          <w:bCs/>
          <w:color w:val="auto"/>
          <w:kern w:val="0"/>
          <w:sz w:val="32"/>
          <w:szCs w:val="32"/>
          <w:highlight w:val="none"/>
        </w:rPr>
        <w:t>年政府信息公开工作年度报告</w:t>
      </w:r>
    </w:p>
    <w:p>
      <w:pPr>
        <w:widowControl/>
        <w:spacing w:line="432" w:lineRule="atLeast"/>
        <w:ind w:firstLine="480"/>
        <w:rPr>
          <w:rFonts w:hint="eastAsia" w:ascii="宋体" w:hAnsi="宋体" w:cs="宋体"/>
          <w:color w:val="auto"/>
          <w:kern w:val="0"/>
          <w:sz w:val="24"/>
          <w:highlight w:val="none"/>
        </w:rPr>
      </w:pPr>
    </w:p>
    <w:p>
      <w:pPr>
        <w:widowControl/>
        <w:spacing w:line="432" w:lineRule="atLeast"/>
        <w:ind w:firstLine="480"/>
        <w:rPr>
          <w:rFonts w:hint="eastAsia" w:ascii="宋体" w:hAnsi="宋体" w:cs="宋体"/>
          <w:color w:val="auto"/>
          <w:kern w:val="0"/>
          <w:sz w:val="24"/>
          <w:highlight w:val="none"/>
        </w:rPr>
      </w:pPr>
      <w:r>
        <w:rPr>
          <w:rFonts w:hint="eastAsia" w:ascii="宋体" w:hAnsi="宋体" w:cs="宋体"/>
          <w:b/>
          <w:bCs/>
          <w:color w:val="auto"/>
          <w:kern w:val="0"/>
          <w:sz w:val="24"/>
          <w:highlight w:val="none"/>
        </w:rPr>
        <w:t>一、总体情况</w:t>
      </w:r>
    </w:p>
    <w:p>
      <w:pPr>
        <w:widowControl/>
        <w:spacing w:line="432" w:lineRule="atLeast"/>
        <w:ind w:firstLine="480"/>
        <w:rPr>
          <w:rFonts w:hint="eastAsia" w:ascii="宋体" w:hAnsi="宋体" w:cs="宋体" w:eastAsiaTheme="minorEastAsia"/>
          <w:color w:val="auto"/>
          <w:kern w:val="0"/>
          <w:sz w:val="24"/>
          <w:highlight w:val="none"/>
          <w:lang w:eastAsia="zh-CN"/>
        </w:rPr>
      </w:pPr>
      <w:r>
        <w:rPr>
          <w:rFonts w:hint="eastAsia" w:ascii="宋体" w:hAnsi="宋体" w:cs="宋体"/>
          <w:color w:val="auto"/>
          <w:kern w:val="0"/>
          <w:sz w:val="24"/>
          <w:highlight w:val="none"/>
        </w:rPr>
        <w:t>根据省、市、县政府政策部署，按照《中华人民共和国政府信息公开条例》《国务院办公厅政府信息与政务公开办公室关于政府信息公开工作年度报告有关事项的通知》《浙江省人民政府办公厅关于做好2020年度政务公开工作总结和政府信息公开工作年度报告有关事项的通知》和《嘉兴市人民政府办公室关于做好2020年度政府信息公开工作年度报告编制发布工作的通知》</w:t>
      </w:r>
      <w:r>
        <w:rPr>
          <w:rFonts w:hint="eastAsia" w:ascii="宋体" w:hAnsi="宋体" w:cs="宋体"/>
          <w:color w:val="auto"/>
          <w:kern w:val="0"/>
          <w:sz w:val="24"/>
          <w:highlight w:val="none"/>
          <w:lang w:eastAsia="zh-CN"/>
        </w:rPr>
        <w:t>工作</w:t>
      </w:r>
      <w:r>
        <w:rPr>
          <w:rFonts w:hint="eastAsia" w:ascii="宋体" w:hAnsi="宋体" w:cs="宋体"/>
          <w:color w:val="auto"/>
          <w:kern w:val="0"/>
          <w:sz w:val="24"/>
          <w:highlight w:val="none"/>
        </w:rPr>
        <w:t>要求，海盐县医保局以习近平新时代中国特色社会主义思想</w:t>
      </w:r>
      <w:r>
        <w:rPr>
          <w:rFonts w:hint="eastAsia" w:ascii="宋体" w:hAnsi="宋体" w:cs="宋体"/>
          <w:color w:val="auto"/>
          <w:kern w:val="0"/>
          <w:sz w:val="24"/>
          <w:highlight w:val="none"/>
          <w:lang w:eastAsia="zh-CN"/>
        </w:rPr>
        <w:t>为指导</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以保障人民群众利益为目标，</w:t>
      </w:r>
      <w:r>
        <w:rPr>
          <w:rFonts w:hint="eastAsia" w:ascii="宋体" w:hAnsi="宋体" w:cs="宋体"/>
          <w:color w:val="auto"/>
          <w:kern w:val="0"/>
          <w:sz w:val="24"/>
          <w:highlight w:val="none"/>
        </w:rPr>
        <w:t>将政府信息公开工作</w:t>
      </w:r>
      <w:r>
        <w:rPr>
          <w:rFonts w:hint="eastAsia" w:ascii="宋体" w:hAnsi="宋体" w:cs="宋体"/>
          <w:color w:val="auto"/>
          <w:kern w:val="0"/>
          <w:sz w:val="24"/>
          <w:highlight w:val="none"/>
          <w:lang w:eastAsia="zh-CN"/>
        </w:rPr>
        <w:t>纳入重要工作议程</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全面落实</w:t>
      </w:r>
      <w:r>
        <w:rPr>
          <w:rFonts w:hint="eastAsia" w:ascii="宋体" w:hAnsi="宋体" w:cs="宋体"/>
          <w:color w:val="auto"/>
          <w:kern w:val="0"/>
          <w:sz w:val="24"/>
          <w:highlight w:val="none"/>
          <w:lang w:val="en-US" w:eastAsia="zh-CN"/>
        </w:rPr>
        <w:t>2020年政府信息公开工作重点、要点及责任，及时、透明、全面向社会及群众</w:t>
      </w:r>
      <w:r>
        <w:rPr>
          <w:rFonts w:hint="eastAsia" w:ascii="宋体" w:hAnsi="宋体" w:cs="宋体"/>
          <w:color w:val="auto"/>
          <w:kern w:val="0"/>
          <w:sz w:val="24"/>
          <w:highlight w:val="none"/>
        </w:rPr>
        <w:t>公开</w:t>
      </w:r>
      <w:r>
        <w:rPr>
          <w:rFonts w:hint="eastAsia" w:ascii="宋体" w:hAnsi="宋体" w:cs="宋体"/>
          <w:color w:val="auto"/>
          <w:kern w:val="0"/>
          <w:sz w:val="24"/>
          <w:highlight w:val="none"/>
          <w:lang w:eastAsia="zh-CN"/>
        </w:rPr>
        <w:t>县医保局政务信息，使群众了解医保法规政策及医保动态，充分</w:t>
      </w:r>
      <w:r>
        <w:rPr>
          <w:rFonts w:hint="eastAsia" w:ascii="宋体" w:hAnsi="宋体" w:cs="宋体"/>
          <w:color w:val="auto"/>
          <w:kern w:val="0"/>
          <w:sz w:val="24"/>
          <w:highlight w:val="none"/>
        </w:rPr>
        <w:t>展示了县医保局的机关形象，</w:t>
      </w:r>
      <w:r>
        <w:rPr>
          <w:rFonts w:hint="eastAsia" w:ascii="宋体" w:hAnsi="宋体" w:cs="宋体"/>
          <w:color w:val="auto"/>
          <w:kern w:val="0"/>
          <w:sz w:val="24"/>
          <w:highlight w:val="none"/>
          <w:lang w:eastAsia="zh-CN"/>
        </w:rPr>
        <w:t>切实保障</w:t>
      </w:r>
      <w:r>
        <w:rPr>
          <w:rFonts w:hint="eastAsia" w:ascii="宋体" w:hAnsi="宋体" w:cs="宋体"/>
          <w:color w:val="auto"/>
          <w:kern w:val="0"/>
          <w:sz w:val="24"/>
          <w:highlight w:val="none"/>
        </w:rPr>
        <w:t>了群众的知情权和监督权。现将我局</w:t>
      </w:r>
      <w:r>
        <w:rPr>
          <w:rFonts w:hint="eastAsia" w:ascii="宋体" w:hAnsi="宋体" w:cs="宋体"/>
          <w:color w:val="auto"/>
          <w:kern w:val="0"/>
          <w:sz w:val="24"/>
          <w:highlight w:val="none"/>
          <w:lang w:val="en-US" w:eastAsia="zh-CN"/>
        </w:rPr>
        <w:t>2020</w:t>
      </w:r>
      <w:r>
        <w:rPr>
          <w:rFonts w:hint="eastAsia" w:ascii="宋体" w:hAnsi="宋体" w:cs="宋体"/>
          <w:color w:val="auto"/>
          <w:kern w:val="0"/>
          <w:sz w:val="24"/>
          <w:highlight w:val="none"/>
        </w:rPr>
        <w:t>年度政府信息公开工作完成情况总结如下</w:t>
      </w:r>
      <w:r>
        <w:rPr>
          <w:rFonts w:hint="eastAsia" w:ascii="宋体" w:hAnsi="宋体" w:cs="宋体"/>
          <w:color w:val="auto"/>
          <w:kern w:val="0"/>
          <w:sz w:val="24"/>
          <w:highlight w:val="none"/>
          <w:lang w:eastAsia="zh-CN"/>
        </w:rPr>
        <w:t>。</w:t>
      </w:r>
    </w:p>
    <w:p>
      <w:pPr>
        <w:widowControl/>
        <w:numPr>
          <w:ilvl w:val="0"/>
          <w:numId w:val="1"/>
        </w:numPr>
        <w:spacing w:line="432" w:lineRule="atLeast"/>
        <w:ind w:firstLine="480"/>
        <w:rPr>
          <w:rFonts w:hint="eastAsia" w:ascii="宋体" w:hAnsi="宋体" w:cs="宋体"/>
          <w:b w:val="0"/>
          <w:bCs w:val="0"/>
          <w:color w:val="auto"/>
          <w:kern w:val="0"/>
          <w:sz w:val="24"/>
          <w:highlight w:val="none"/>
        </w:rPr>
      </w:pPr>
      <w:r>
        <w:rPr>
          <w:rFonts w:hint="eastAsia" w:ascii="宋体" w:hAnsi="宋体" w:cs="宋体"/>
          <w:b w:val="0"/>
          <w:bCs w:val="0"/>
          <w:color w:val="auto"/>
          <w:kern w:val="0"/>
          <w:sz w:val="24"/>
          <w:highlight w:val="none"/>
        </w:rPr>
        <w:t>主动公开方面。20</w:t>
      </w:r>
      <w:r>
        <w:rPr>
          <w:rFonts w:hint="eastAsia" w:ascii="宋体" w:hAnsi="宋体" w:cs="宋体"/>
          <w:b w:val="0"/>
          <w:bCs w:val="0"/>
          <w:color w:val="auto"/>
          <w:kern w:val="0"/>
          <w:sz w:val="24"/>
          <w:highlight w:val="none"/>
          <w:lang w:val="en-US" w:eastAsia="zh-CN"/>
        </w:rPr>
        <w:t>20</w:t>
      </w:r>
      <w:r>
        <w:rPr>
          <w:rFonts w:hint="eastAsia" w:ascii="宋体" w:hAnsi="宋体" w:cs="宋体"/>
          <w:b w:val="0"/>
          <w:bCs w:val="0"/>
          <w:color w:val="auto"/>
          <w:kern w:val="0"/>
          <w:sz w:val="24"/>
          <w:highlight w:val="none"/>
        </w:rPr>
        <w:t>年度，主动公开医保领域重要信息，</w:t>
      </w:r>
      <w:r>
        <w:rPr>
          <w:rFonts w:hint="eastAsia" w:ascii="宋体" w:hAnsi="宋体" w:cs="宋体"/>
          <w:b w:val="0"/>
          <w:bCs w:val="0"/>
          <w:color w:val="auto"/>
          <w:kern w:val="0"/>
          <w:sz w:val="24"/>
          <w:highlight w:val="none"/>
          <w:lang w:eastAsia="zh-CN"/>
        </w:rPr>
        <w:t>发布及解读各项医疗保障政策办法及法律法规，主动公开县医保局可公开文件，进一步更新县医保局工作动态，使群众更好地了解医保政策及最新动态。</w:t>
      </w:r>
      <w:r>
        <w:rPr>
          <w:rFonts w:hint="eastAsia" w:ascii="宋体" w:hAnsi="宋体" w:cs="宋体"/>
          <w:b w:val="0"/>
          <w:bCs w:val="0"/>
          <w:color w:val="auto"/>
          <w:kern w:val="0"/>
          <w:sz w:val="24"/>
          <w:highlight w:val="none"/>
        </w:rPr>
        <w:t>重点领域政府信息公开方面</w:t>
      </w:r>
      <w:r>
        <w:rPr>
          <w:rFonts w:hint="eastAsia" w:ascii="宋体" w:hAnsi="宋体" w:cs="宋体"/>
          <w:b w:val="0"/>
          <w:bCs w:val="0"/>
          <w:color w:val="auto"/>
          <w:kern w:val="0"/>
          <w:sz w:val="24"/>
          <w:highlight w:val="none"/>
          <w:lang w:eastAsia="zh-CN"/>
        </w:rPr>
        <w:t>，</w:t>
      </w:r>
      <w:r>
        <w:rPr>
          <w:rFonts w:hint="eastAsia" w:ascii="宋体" w:hAnsi="宋体" w:cs="宋体"/>
          <w:b w:val="0"/>
          <w:bCs w:val="0"/>
          <w:color w:val="auto"/>
          <w:kern w:val="0"/>
          <w:sz w:val="24"/>
          <w:highlight w:val="none"/>
        </w:rPr>
        <w:t>完善医疗保障领域常态化公开机制，公开《海盐县医疗保障局政府信息公开实施办法》。做好民生领域信息公开，在政务公开网站上发布医保支付方式改革工作动态1条，医疗保障政策7条，政策解读2条，在海盐县医疗保障局微信公众号、嘉兴日报等平台公布医保相关的政策信息及动态。做好三大重点领域公开，做好医疗救助保障人数及资金使用统计报表公示，每月公示城乡困难人员医疗救助人数、对象、涉及资金等，现已公示12条；每周公示长期护理保险重度失能等级评定结果，现已公示4</w:t>
      </w:r>
      <w:r>
        <w:rPr>
          <w:rFonts w:hint="eastAsia" w:ascii="宋体" w:hAnsi="宋体" w:cs="宋体"/>
          <w:b w:val="0"/>
          <w:bCs w:val="0"/>
          <w:color w:val="auto"/>
          <w:kern w:val="0"/>
          <w:sz w:val="24"/>
          <w:highlight w:val="none"/>
          <w:lang w:val="en-US" w:eastAsia="zh-CN"/>
        </w:rPr>
        <w:t>4</w:t>
      </w:r>
      <w:r>
        <w:rPr>
          <w:rFonts w:hint="eastAsia" w:ascii="宋体" w:hAnsi="宋体" w:cs="宋体"/>
          <w:b w:val="0"/>
          <w:bCs w:val="0"/>
          <w:color w:val="auto"/>
          <w:kern w:val="0"/>
          <w:sz w:val="24"/>
          <w:highlight w:val="none"/>
        </w:rPr>
        <w:t>条。做好医保改革领域公开，公布本年度打击欺诈骗取医保基金情况1条。</w:t>
      </w:r>
    </w:p>
    <w:p>
      <w:pPr>
        <w:widowControl/>
        <w:spacing w:line="432" w:lineRule="atLeast"/>
        <w:ind w:firstLine="480"/>
        <w:rPr>
          <w:rFonts w:hint="eastAsia" w:ascii="宋体" w:hAnsi="宋体" w:cs="宋体"/>
          <w:b w:val="0"/>
          <w:bCs w:val="0"/>
          <w:color w:val="auto"/>
          <w:kern w:val="0"/>
          <w:sz w:val="24"/>
          <w:highlight w:val="none"/>
        </w:rPr>
      </w:pPr>
      <w:r>
        <w:rPr>
          <w:rFonts w:hint="eastAsia" w:ascii="宋体" w:hAnsi="宋体" w:cs="宋体"/>
          <w:b w:val="0"/>
          <w:bCs w:val="0"/>
          <w:color w:val="auto"/>
          <w:kern w:val="0"/>
          <w:sz w:val="24"/>
          <w:highlight w:val="none"/>
        </w:rPr>
        <w:t>2.依申请公开方面。县医保局20</w:t>
      </w:r>
      <w:r>
        <w:rPr>
          <w:rFonts w:hint="eastAsia" w:ascii="宋体" w:hAnsi="宋体" w:cs="宋体"/>
          <w:b w:val="0"/>
          <w:bCs w:val="0"/>
          <w:color w:val="auto"/>
          <w:kern w:val="0"/>
          <w:sz w:val="24"/>
          <w:highlight w:val="none"/>
          <w:lang w:val="en-US" w:eastAsia="zh-CN"/>
        </w:rPr>
        <w:t>20</w:t>
      </w:r>
      <w:r>
        <w:rPr>
          <w:rFonts w:hint="eastAsia" w:ascii="宋体" w:hAnsi="宋体" w:cs="宋体"/>
          <w:b w:val="0"/>
          <w:bCs w:val="0"/>
          <w:color w:val="auto"/>
          <w:kern w:val="0"/>
          <w:sz w:val="24"/>
          <w:highlight w:val="none"/>
        </w:rPr>
        <w:t>年未收到公开申请，无依申请公开。</w:t>
      </w:r>
    </w:p>
    <w:p>
      <w:pPr>
        <w:widowControl/>
        <w:spacing w:line="432" w:lineRule="atLeast"/>
        <w:ind w:firstLine="480"/>
        <w:rPr>
          <w:rFonts w:hint="eastAsia" w:ascii="宋体" w:hAnsi="宋体" w:cs="宋体"/>
          <w:b w:val="0"/>
          <w:bCs w:val="0"/>
          <w:color w:val="auto"/>
          <w:kern w:val="0"/>
          <w:sz w:val="24"/>
          <w:highlight w:val="none"/>
        </w:rPr>
      </w:pPr>
      <w:r>
        <w:rPr>
          <w:rFonts w:hint="eastAsia" w:ascii="宋体" w:hAnsi="宋体" w:cs="宋体"/>
          <w:b w:val="0"/>
          <w:bCs w:val="0"/>
          <w:color w:val="auto"/>
          <w:kern w:val="0"/>
          <w:sz w:val="24"/>
          <w:highlight w:val="none"/>
        </w:rPr>
        <w:t>3.政府信息管理方面。</w:t>
      </w:r>
      <w:r>
        <w:rPr>
          <w:rFonts w:hint="eastAsia" w:ascii="宋体" w:hAnsi="宋体" w:cs="宋体"/>
          <w:b w:val="0"/>
          <w:bCs w:val="0"/>
          <w:color w:val="auto"/>
          <w:kern w:val="0"/>
          <w:sz w:val="24"/>
          <w:highlight w:val="none"/>
          <w:lang w:eastAsia="zh-CN"/>
        </w:rPr>
        <w:t>由局</w:t>
      </w:r>
      <w:r>
        <w:rPr>
          <w:rFonts w:hint="eastAsia" w:ascii="宋体" w:hAnsi="宋体" w:cs="宋体"/>
          <w:b w:val="0"/>
          <w:bCs w:val="0"/>
          <w:color w:val="auto"/>
          <w:kern w:val="0"/>
          <w:sz w:val="24"/>
          <w:highlight w:val="none"/>
        </w:rPr>
        <w:t>政府信息公开工作领导小组</w:t>
      </w:r>
      <w:r>
        <w:rPr>
          <w:rFonts w:hint="eastAsia" w:ascii="宋体" w:hAnsi="宋体" w:cs="宋体"/>
          <w:b w:val="0"/>
          <w:bCs w:val="0"/>
          <w:color w:val="auto"/>
          <w:kern w:val="0"/>
          <w:sz w:val="24"/>
          <w:highlight w:val="none"/>
          <w:lang w:eastAsia="zh-CN"/>
        </w:rPr>
        <w:t>牵头</w:t>
      </w:r>
      <w:r>
        <w:rPr>
          <w:rFonts w:hint="eastAsia" w:ascii="宋体" w:hAnsi="宋体" w:cs="宋体"/>
          <w:b w:val="0"/>
          <w:bCs w:val="0"/>
          <w:color w:val="auto"/>
          <w:kern w:val="0"/>
          <w:sz w:val="24"/>
          <w:highlight w:val="none"/>
        </w:rPr>
        <w:t>，</w:t>
      </w:r>
      <w:r>
        <w:rPr>
          <w:rFonts w:hint="eastAsia" w:ascii="宋体" w:hAnsi="宋体" w:cs="宋体"/>
          <w:b w:val="0"/>
          <w:bCs w:val="0"/>
          <w:color w:val="auto"/>
          <w:kern w:val="0"/>
          <w:sz w:val="24"/>
          <w:highlight w:val="none"/>
          <w:lang w:eastAsia="zh-CN"/>
        </w:rPr>
        <w:t>全体干部职工严格按照</w:t>
      </w:r>
      <w:r>
        <w:rPr>
          <w:rFonts w:hint="eastAsia" w:ascii="宋体" w:hAnsi="宋体" w:cs="宋体"/>
          <w:b w:val="0"/>
          <w:bCs w:val="0"/>
          <w:color w:val="auto"/>
          <w:kern w:val="0"/>
          <w:sz w:val="24"/>
          <w:highlight w:val="none"/>
        </w:rPr>
        <w:t>政府信息公开制度，</w:t>
      </w:r>
      <w:r>
        <w:rPr>
          <w:rFonts w:hint="eastAsia" w:ascii="宋体" w:hAnsi="宋体" w:cs="宋体"/>
          <w:b w:val="0"/>
          <w:bCs w:val="0"/>
          <w:color w:val="auto"/>
          <w:kern w:val="0"/>
          <w:sz w:val="24"/>
          <w:highlight w:val="none"/>
          <w:lang w:eastAsia="zh-CN"/>
        </w:rPr>
        <w:t>不断加强</w:t>
      </w:r>
      <w:r>
        <w:rPr>
          <w:rFonts w:hint="eastAsia" w:ascii="宋体" w:hAnsi="宋体" w:cs="宋体"/>
          <w:b w:val="0"/>
          <w:bCs w:val="0"/>
          <w:color w:val="auto"/>
          <w:kern w:val="0"/>
          <w:sz w:val="24"/>
          <w:highlight w:val="none"/>
        </w:rPr>
        <w:t>政府信息管理，严格执行政府信息公开工作流程，及时、规范、有效地向社会及公众公开医疗保障领域政务信息，切实保障广大人民群众的医保领域利益。</w:t>
      </w:r>
      <w:r>
        <w:rPr>
          <w:rFonts w:hint="eastAsia" w:ascii="宋体" w:hAnsi="宋体" w:cs="宋体"/>
          <w:b w:val="0"/>
          <w:bCs w:val="0"/>
          <w:color w:val="auto"/>
          <w:kern w:val="0"/>
          <w:sz w:val="24"/>
          <w:highlight w:val="none"/>
          <w:lang w:eastAsia="zh-CN"/>
        </w:rPr>
        <w:t>一</w:t>
      </w:r>
      <w:r>
        <w:rPr>
          <w:rFonts w:hint="eastAsia" w:ascii="宋体" w:hAnsi="宋体" w:cs="宋体"/>
          <w:b w:val="0"/>
          <w:bCs w:val="0"/>
          <w:color w:val="auto"/>
          <w:kern w:val="0"/>
          <w:sz w:val="24"/>
          <w:highlight w:val="none"/>
        </w:rPr>
        <w:t>方面，</w:t>
      </w:r>
      <w:r>
        <w:rPr>
          <w:rFonts w:hint="eastAsia" w:ascii="宋体" w:hAnsi="宋体" w:cs="宋体"/>
          <w:b w:val="0"/>
          <w:bCs w:val="0"/>
          <w:color w:val="auto"/>
          <w:kern w:val="0"/>
          <w:sz w:val="24"/>
          <w:highlight w:val="none"/>
          <w:lang w:eastAsia="zh-CN"/>
        </w:rPr>
        <w:t>持续</w:t>
      </w:r>
      <w:r>
        <w:rPr>
          <w:rFonts w:hint="eastAsia" w:ascii="宋体" w:hAnsi="宋体" w:cs="宋体"/>
          <w:b w:val="0"/>
          <w:bCs w:val="0"/>
          <w:color w:val="auto"/>
          <w:kern w:val="0"/>
          <w:sz w:val="24"/>
          <w:highlight w:val="none"/>
        </w:rPr>
        <w:t>加大</w:t>
      </w:r>
      <w:r>
        <w:rPr>
          <w:rFonts w:hint="eastAsia" w:ascii="宋体" w:hAnsi="宋体" w:cs="宋体"/>
          <w:b w:val="0"/>
          <w:bCs w:val="0"/>
          <w:color w:val="auto"/>
          <w:kern w:val="0"/>
          <w:sz w:val="24"/>
          <w:highlight w:val="none"/>
          <w:lang w:eastAsia="zh-CN"/>
        </w:rPr>
        <w:t>政策</w:t>
      </w:r>
      <w:r>
        <w:rPr>
          <w:rFonts w:hint="eastAsia" w:ascii="宋体" w:hAnsi="宋体" w:cs="宋体"/>
          <w:b w:val="0"/>
          <w:bCs w:val="0"/>
          <w:color w:val="auto"/>
          <w:kern w:val="0"/>
          <w:sz w:val="24"/>
          <w:highlight w:val="none"/>
        </w:rPr>
        <w:t>解读力度，同步发布政策性文件，公开职工基本医疗保险政策和城乡居民基本医疗保险政策共</w:t>
      </w:r>
      <w:r>
        <w:rPr>
          <w:rFonts w:hint="eastAsia" w:ascii="宋体" w:hAnsi="宋体" w:cs="宋体"/>
          <w:b w:val="0"/>
          <w:bCs w:val="0"/>
          <w:color w:val="auto"/>
          <w:kern w:val="0"/>
          <w:sz w:val="24"/>
          <w:highlight w:val="none"/>
          <w:lang w:val="en-US" w:eastAsia="zh-CN"/>
        </w:rPr>
        <w:t>3</w:t>
      </w:r>
      <w:r>
        <w:rPr>
          <w:rFonts w:hint="eastAsia" w:ascii="宋体" w:hAnsi="宋体" w:cs="宋体"/>
          <w:b w:val="0"/>
          <w:bCs w:val="0"/>
          <w:color w:val="auto"/>
          <w:kern w:val="0"/>
          <w:sz w:val="24"/>
          <w:highlight w:val="none"/>
        </w:rPr>
        <w:t>条。</w:t>
      </w:r>
      <w:r>
        <w:rPr>
          <w:rFonts w:hint="eastAsia" w:ascii="宋体" w:hAnsi="宋体" w:cs="宋体"/>
          <w:b w:val="0"/>
          <w:bCs w:val="0"/>
          <w:color w:val="auto"/>
          <w:kern w:val="0"/>
          <w:sz w:val="24"/>
          <w:highlight w:val="none"/>
          <w:lang w:eastAsia="zh-CN"/>
        </w:rPr>
        <w:t>另一</w:t>
      </w:r>
      <w:r>
        <w:rPr>
          <w:rFonts w:hint="eastAsia" w:ascii="宋体" w:hAnsi="宋体" w:cs="宋体"/>
          <w:b w:val="0"/>
          <w:bCs w:val="0"/>
          <w:color w:val="auto"/>
          <w:kern w:val="0"/>
          <w:sz w:val="24"/>
          <w:highlight w:val="none"/>
        </w:rPr>
        <w:t>方面，公开基金监管（包括打击欺诈骗保、实时监管、交叉检查、社会保障卡违规使用等）、医保政策（包括实时结算、长期护理保险、医保补年限等）、走访调查等工作动态</w:t>
      </w:r>
      <w:r>
        <w:rPr>
          <w:rFonts w:hint="eastAsia" w:ascii="宋体" w:hAnsi="宋体" w:cs="宋体"/>
          <w:b w:val="0"/>
          <w:bCs w:val="0"/>
          <w:color w:val="auto"/>
          <w:kern w:val="0"/>
          <w:sz w:val="24"/>
          <w:highlight w:val="none"/>
          <w:lang w:val="en-US" w:eastAsia="zh-CN"/>
        </w:rPr>
        <w:t>46</w:t>
      </w:r>
      <w:r>
        <w:rPr>
          <w:rFonts w:hint="eastAsia" w:ascii="宋体" w:hAnsi="宋体" w:cs="宋体"/>
          <w:b w:val="0"/>
          <w:bCs w:val="0"/>
          <w:color w:val="auto"/>
          <w:kern w:val="0"/>
          <w:sz w:val="24"/>
          <w:highlight w:val="none"/>
        </w:rPr>
        <w:t>条、文件</w:t>
      </w:r>
      <w:r>
        <w:rPr>
          <w:rFonts w:hint="eastAsia" w:ascii="宋体" w:hAnsi="宋体" w:cs="宋体"/>
          <w:b w:val="0"/>
          <w:bCs w:val="0"/>
          <w:color w:val="auto"/>
          <w:kern w:val="0"/>
          <w:sz w:val="24"/>
          <w:highlight w:val="none"/>
          <w:lang w:val="en-US" w:eastAsia="zh-CN"/>
        </w:rPr>
        <w:t>30</w:t>
      </w:r>
      <w:r>
        <w:rPr>
          <w:rFonts w:hint="eastAsia" w:ascii="宋体" w:hAnsi="宋体" w:cs="宋体"/>
          <w:b w:val="0"/>
          <w:bCs w:val="0"/>
          <w:color w:val="auto"/>
          <w:kern w:val="0"/>
          <w:sz w:val="24"/>
          <w:highlight w:val="none"/>
        </w:rPr>
        <w:t>份和对人大代表建议和政协提案的答复</w:t>
      </w:r>
      <w:r>
        <w:rPr>
          <w:rFonts w:hint="eastAsia" w:ascii="宋体" w:hAnsi="宋体" w:cs="宋体"/>
          <w:b w:val="0"/>
          <w:bCs w:val="0"/>
          <w:color w:val="auto"/>
          <w:kern w:val="0"/>
          <w:sz w:val="24"/>
          <w:highlight w:val="none"/>
          <w:lang w:val="en-US" w:eastAsia="zh-CN"/>
        </w:rPr>
        <w:t>2</w:t>
      </w:r>
      <w:r>
        <w:rPr>
          <w:rFonts w:hint="eastAsia" w:ascii="宋体" w:hAnsi="宋体" w:cs="宋体"/>
          <w:b w:val="0"/>
          <w:bCs w:val="0"/>
          <w:color w:val="auto"/>
          <w:kern w:val="0"/>
          <w:sz w:val="24"/>
          <w:highlight w:val="none"/>
          <w:lang w:eastAsia="zh-CN"/>
        </w:rPr>
        <w:t>条</w:t>
      </w:r>
      <w:r>
        <w:rPr>
          <w:rFonts w:hint="eastAsia" w:ascii="宋体" w:hAnsi="宋体" w:cs="宋体"/>
          <w:b w:val="0"/>
          <w:bCs w:val="0"/>
          <w:color w:val="auto"/>
          <w:kern w:val="0"/>
          <w:sz w:val="24"/>
          <w:highlight w:val="none"/>
        </w:rPr>
        <w:t>。</w:t>
      </w:r>
    </w:p>
    <w:p>
      <w:pPr>
        <w:widowControl/>
        <w:spacing w:line="432" w:lineRule="atLeast"/>
        <w:ind w:firstLine="480"/>
        <w:rPr>
          <w:rFonts w:hint="eastAsia" w:ascii="宋体" w:hAnsi="宋体" w:cs="宋体"/>
          <w:b w:val="0"/>
          <w:bCs w:val="0"/>
          <w:color w:val="auto"/>
          <w:kern w:val="0"/>
          <w:sz w:val="24"/>
          <w:highlight w:val="none"/>
        </w:rPr>
      </w:pPr>
      <w:r>
        <w:rPr>
          <w:rFonts w:hint="eastAsia" w:ascii="宋体" w:hAnsi="宋体" w:cs="宋体"/>
          <w:b w:val="0"/>
          <w:bCs w:val="0"/>
          <w:color w:val="auto"/>
          <w:kern w:val="0"/>
          <w:sz w:val="24"/>
          <w:highlight w:val="none"/>
        </w:rPr>
        <w:t>4.</w:t>
      </w:r>
      <w:r>
        <w:rPr>
          <w:rFonts w:hint="eastAsia" w:ascii="宋体" w:hAnsi="宋体" w:cs="宋体"/>
          <w:b w:val="0"/>
          <w:bCs w:val="0"/>
          <w:color w:val="auto"/>
          <w:kern w:val="0"/>
          <w:sz w:val="24"/>
          <w:highlight w:val="none"/>
          <w:lang w:eastAsia="zh-CN"/>
        </w:rPr>
        <w:t>平台</w:t>
      </w:r>
      <w:r>
        <w:rPr>
          <w:rFonts w:hint="eastAsia" w:ascii="宋体" w:hAnsi="宋体" w:cs="宋体"/>
          <w:b w:val="0"/>
          <w:bCs w:val="0"/>
          <w:color w:val="auto"/>
          <w:kern w:val="0"/>
          <w:sz w:val="24"/>
          <w:highlight w:val="none"/>
        </w:rPr>
        <w:t>建设方面。</w:t>
      </w:r>
      <w:r>
        <w:rPr>
          <w:rFonts w:hint="eastAsia" w:ascii="宋体" w:hAnsi="宋体" w:cs="宋体"/>
          <w:b w:val="0"/>
          <w:bCs w:val="0"/>
          <w:color w:val="auto"/>
          <w:kern w:val="0"/>
          <w:sz w:val="24"/>
          <w:highlight w:val="none"/>
          <w:lang w:eastAsia="zh-CN"/>
        </w:rPr>
        <w:t>持续加强政府信息平台建设，扎实打造信息宣传主阵地。一是做好政务公开平台建设，通过海盐县人民政府网站发布医保局机构信息、医保政策、重大决策、重要文件、各类通知及日常动态，全方位向群众及社会公开各类医保政务信息，不断完善政务公开网站平台建设，按要求做好信息分类和补充，全力打造高效透明的政务公开平台；二是抓好海盐县医疗保障局微信公众号宣传前线工作，第一时间推送各类关乎民生实事的医保政策及通知，详细解读医保政策和法律法规，推出“掌上办”小课堂、医保小课堂、以案说法小课堂系列内容，以生动形象的方式向群众说明医保经办服务流程，解答群众政策疑问，让群众实现“掌上”咨询；三是充分利用各类新闻媒体，不断扩大医保宣传范围，在海盐发布、“爱海盐”APP、海盐新闻、“读嘉”APP、嘉兴日报、人民网等媒体上发布各类医保活动信息，让更多的群众了解、熟知医保政策和最新动态，提高医保参保知晓率。</w:t>
      </w:r>
      <w:bookmarkStart w:id="0" w:name="_GoBack"/>
      <w:bookmarkEnd w:id="0"/>
    </w:p>
    <w:p>
      <w:pPr>
        <w:widowControl/>
        <w:spacing w:line="432" w:lineRule="atLeast"/>
        <w:ind w:firstLine="480"/>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.监督保障方面。</w:t>
      </w:r>
      <w:r>
        <w:rPr>
          <w:rFonts w:hint="eastAsia" w:ascii="宋体" w:hAnsi="宋体" w:cs="宋体"/>
          <w:color w:val="auto"/>
          <w:kern w:val="0"/>
          <w:sz w:val="24"/>
          <w:highlight w:val="none"/>
          <w:lang w:eastAsia="zh-CN"/>
        </w:rPr>
        <w:t>一是成立局政府信息公开工作领导小组，建立政府信息公开制度，完善政府信息公开流程，加强政府信息公开监督管理；二是在政府信息公开平台上更新县医保局</w:t>
      </w:r>
      <w:r>
        <w:rPr>
          <w:rFonts w:hint="eastAsia" w:ascii="宋体" w:hAnsi="宋体" w:cs="宋体"/>
          <w:color w:val="auto"/>
          <w:kern w:val="0"/>
          <w:sz w:val="24"/>
          <w:highlight w:val="none"/>
        </w:rPr>
        <w:t>单位工作职责、单位领导、科室信息、下属单位信息等机构信息4条，公开县医保局工作指南及监督举报联系方式，</w:t>
      </w:r>
      <w:r>
        <w:rPr>
          <w:rFonts w:hint="eastAsia" w:ascii="宋体" w:hAnsi="宋体" w:cs="宋体"/>
          <w:color w:val="auto"/>
          <w:kern w:val="0"/>
          <w:sz w:val="24"/>
          <w:highlight w:val="none"/>
          <w:lang w:eastAsia="zh-CN"/>
        </w:rPr>
        <w:t>自觉</w:t>
      </w:r>
      <w:r>
        <w:rPr>
          <w:rFonts w:hint="eastAsia" w:ascii="宋体" w:hAnsi="宋体" w:cs="宋体"/>
          <w:color w:val="auto"/>
          <w:kern w:val="0"/>
          <w:sz w:val="24"/>
          <w:highlight w:val="none"/>
        </w:rPr>
        <w:t>接受社会</w:t>
      </w:r>
      <w:r>
        <w:rPr>
          <w:rFonts w:hint="eastAsia" w:ascii="宋体" w:hAnsi="宋体" w:cs="宋体"/>
          <w:color w:val="auto"/>
          <w:kern w:val="0"/>
          <w:sz w:val="24"/>
          <w:highlight w:val="none"/>
          <w:lang w:eastAsia="zh-CN"/>
        </w:rPr>
        <w:t>及人民群众的</w:t>
      </w:r>
      <w:r>
        <w:rPr>
          <w:rFonts w:hint="eastAsia" w:ascii="宋体" w:hAnsi="宋体" w:cs="宋体"/>
          <w:color w:val="auto"/>
          <w:kern w:val="0"/>
          <w:sz w:val="24"/>
          <w:highlight w:val="none"/>
        </w:rPr>
        <w:t>监督；</w:t>
      </w:r>
      <w:r>
        <w:rPr>
          <w:rFonts w:hint="eastAsia" w:ascii="宋体" w:hAnsi="宋体" w:cs="宋体"/>
          <w:color w:val="auto"/>
          <w:kern w:val="0"/>
          <w:sz w:val="24"/>
          <w:highlight w:val="none"/>
          <w:lang w:eastAsia="zh-CN"/>
        </w:rPr>
        <w:t>三是</w:t>
      </w:r>
      <w:r>
        <w:rPr>
          <w:rFonts w:hint="eastAsia" w:ascii="宋体" w:hAnsi="宋体" w:cs="宋体"/>
          <w:color w:val="auto"/>
          <w:kern w:val="0"/>
          <w:sz w:val="24"/>
          <w:highlight w:val="none"/>
        </w:rPr>
        <w:t>积极配合</w:t>
      </w:r>
      <w:r>
        <w:rPr>
          <w:rFonts w:hint="eastAsia" w:ascii="宋体" w:hAnsi="宋体" w:cs="宋体"/>
          <w:color w:val="auto"/>
          <w:kern w:val="0"/>
          <w:sz w:val="24"/>
          <w:highlight w:val="none"/>
          <w:lang w:eastAsia="zh-CN"/>
        </w:rPr>
        <w:t>县政府相关部门做好政府信息公开工作，按要求保质保量完成各项任务，积极配合评估，第一时间做好问题整改。</w:t>
      </w:r>
    </w:p>
    <w:p>
      <w:pPr>
        <w:widowControl/>
        <w:spacing w:line="432" w:lineRule="atLeast"/>
        <w:rPr>
          <w:rFonts w:hint="eastAsia" w:ascii="宋体" w:hAnsi="宋体" w:cs="宋体" w:eastAsiaTheme="minorEastAsia"/>
          <w:color w:val="auto"/>
          <w:kern w:val="0"/>
          <w:sz w:val="24"/>
          <w:highlight w:val="none"/>
          <w:lang w:val="en-US" w:eastAsia="zh-CN"/>
        </w:rPr>
      </w:pPr>
    </w:p>
    <w:p>
      <w:pPr>
        <w:widowControl/>
        <w:spacing w:after="240" w:line="432" w:lineRule="atLeast"/>
        <w:ind w:firstLine="480"/>
        <w:rPr>
          <w:rFonts w:hint="eastAsia" w:ascii="宋体" w:hAnsi="宋体" w:cs="宋体"/>
          <w:color w:val="auto"/>
          <w:kern w:val="0"/>
          <w:sz w:val="24"/>
          <w:highlight w:val="none"/>
        </w:rPr>
      </w:pPr>
      <w:r>
        <w:rPr>
          <w:rFonts w:hint="eastAsia" w:ascii="宋体" w:hAnsi="宋体" w:cs="宋体"/>
          <w:b/>
          <w:bCs/>
          <w:color w:val="auto"/>
          <w:kern w:val="0"/>
          <w:sz w:val="24"/>
          <w:highlight w:val="none"/>
        </w:rPr>
        <w:t>二、主动公开政府信息情况</w:t>
      </w: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本年新</w:t>
            </w:r>
            <w:r>
              <w:rPr>
                <w:rFonts w:hint="eastAsia" w:ascii="宋体" w:hAnsi="宋体" w:cs="宋体"/>
                <w:color w:val="auto"/>
                <w:kern w:val="0"/>
                <w:sz w:val="20"/>
                <w:szCs w:val="20"/>
                <w:highlight w:val="none"/>
              </w:rPr>
              <w:br w:type="textWrapping"/>
            </w:r>
            <w:r>
              <w:rPr>
                <w:rFonts w:ascii="宋体" w:hAnsi="宋体" w:cs="宋体"/>
                <w:color w:val="auto"/>
                <w:kern w:val="0"/>
                <w:sz w:val="20"/>
                <w:szCs w:val="20"/>
                <w:highlight w:val="none"/>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本年新</w:t>
            </w:r>
            <w:r>
              <w:rPr>
                <w:rFonts w:hint="eastAsia" w:ascii="宋体" w:hAnsi="宋体" w:cs="宋体"/>
                <w:color w:val="auto"/>
                <w:kern w:val="0"/>
                <w:sz w:val="20"/>
                <w:szCs w:val="20"/>
                <w:highlight w:val="none"/>
              </w:rPr>
              <w:br w:type="textWrapping"/>
            </w:r>
            <w:r>
              <w:rPr>
                <w:rFonts w:ascii="宋体" w:hAnsi="宋体" w:cs="宋体"/>
                <w:color w:val="auto"/>
                <w:kern w:val="0"/>
                <w:sz w:val="20"/>
                <w:szCs w:val="20"/>
                <w:highlight w:val="none"/>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行政许可</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行政处罚</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2</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行政强制</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第二十条第（九）项</w:t>
            </w:r>
          </w:p>
        </w:tc>
      </w:tr>
      <w:tr>
        <w:tblPrEx>
          <w:tblLayout w:type="fixed"/>
          <w:tblCellMar>
            <w:top w:w="0" w:type="dxa"/>
            <w:left w:w="0" w:type="dxa"/>
            <w:bottom w:w="0" w:type="dxa"/>
            <w:right w:w="0" w:type="dxa"/>
          </w:tblCellMar>
        </w:tblPrEx>
        <w:trPr>
          <w:trHeight w:val="6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12</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34.2万</w:t>
            </w:r>
          </w:p>
        </w:tc>
      </w:tr>
    </w:tbl>
    <w:p>
      <w:pPr>
        <w:widowControl/>
        <w:spacing w:line="432" w:lineRule="atLeast"/>
        <w:ind w:firstLine="480"/>
        <w:rPr>
          <w:rFonts w:hint="eastAsia" w:ascii="宋体" w:hAnsi="宋体" w:cs="宋体"/>
          <w:color w:val="auto"/>
          <w:kern w:val="0"/>
          <w:sz w:val="24"/>
          <w:highlight w:val="none"/>
        </w:rPr>
      </w:pPr>
    </w:p>
    <w:p>
      <w:pPr>
        <w:widowControl/>
        <w:spacing w:after="240" w:line="432" w:lineRule="atLeast"/>
        <w:ind w:firstLine="480"/>
        <w:rPr>
          <w:rFonts w:hint="eastAsia" w:ascii="宋体" w:hAnsi="宋体" w:cs="宋体"/>
          <w:color w:val="auto"/>
          <w:kern w:val="0"/>
          <w:sz w:val="24"/>
          <w:highlight w:val="none"/>
        </w:rPr>
      </w:pPr>
      <w:r>
        <w:rPr>
          <w:rFonts w:hint="eastAsia" w:ascii="宋体" w:hAnsi="宋体" w:cs="宋体"/>
          <w:b/>
          <w:bCs/>
          <w:color w:val="auto"/>
          <w:kern w:val="0"/>
          <w:sz w:val="24"/>
          <w:highlight w:val="none"/>
        </w:rPr>
        <w:t>三、收到和处理政府信息公开申请情况</w:t>
      </w:r>
    </w:p>
    <w:tbl>
      <w:tblPr>
        <w:tblStyle w:val="5"/>
        <w:tblW w:w="9071" w:type="dxa"/>
        <w:jc w:val="center"/>
        <w:tblInd w:w="0" w:type="dxa"/>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Layout w:type="fixed"/>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申请人情况</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总计</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楷体" w:hAnsi="楷体" w:eastAsia="楷体" w:cs="宋体"/>
                <w:color w:val="auto"/>
                <w:kern w:val="0"/>
                <w:sz w:val="20"/>
                <w:szCs w:val="20"/>
                <w:highlight w:val="none"/>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0"/>
                <w:szCs w:val="20"/>
                <w:highlight w:val="none"/>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w:t>
            </w:r>
          </w:p>
        </w:tc>
      </w:tr>
    </w:tbl>
    <w:p>
      <w:pPr>
        <w:widowControl/>
        <w:spacing w:line="432" w:lineRule="atLeast"/>
        <w:ind w:firstLine="480"/>
        <w:rPr>
          <w:rFonts w:hint="eastAsia" w:ascii="宋体" w:hAnsi="宋体" w:cs="宋体"/>
          <w:color w:val="auto"/>
          <w:kern w:val="0"/>
          <w:sz w:val="24"/>
          <w:highlight w:val="none"/>
        </w:rPr>
      </w:pPr>
    </w:p>
    <w:p>
      <w:pPr>
        <w:widowControl/>
        <w:spacing w:line="432" w:lineRule="atLeast"/>
        <w:ind w:firstLine="480"/>
        <w:rPr>
          <w:rFonts w:hint="eastAsia" w:ascii="宋体" w:hAnsi="宋体" w:cs="宋体"/>
          <w:color w:val="auto"/>
          <w:kern w:val="0"/>
          <w:sz w:val="24"/>
          <w:highlight w:val="none"/>
        </w:rPr>
      </w:pPr>
      <w:r>
        <w:rPr>
          <w:rFonts w:hint="eastAsia" w:ascii="宋体" w:hAnsi="宋体" w:cs="宋体"/>
          <w:b/>
          <w:bCs/>
          <w:color w:val="auto"/>
          <w:kern w:val="0"/>
          <w:sz w:val="24"/>
          <w:highlight w:val="none"/>
        </w:rPr>
        <w:t>四、政府信息公开行政复议、行政诉讼情况</w:t>
      </w:r>
    </w:p>
    <w:p>
      <w:pPr>
        <w:widowControl/>
        <w:spacing w:line="432" w:lineRule="atLeast"/>
        <w:ind w:firstLine="480"/>
        <w:rPr>
          <w:rFonts w:hint="eastAsia" w:ascii="宋体" w:hAnsi="宋体" w:cs="宋体"/>
          <w:color w:val="auto"/>
          <w:kern w:val="0"/>
          <w:sz w:val="24"/>
          <w:highlight w:val="none"/>
        </w:rPr>
      </w:pPr>
    </w:p>
    <w:tbl>
      <w:tblPr>
        <w:tblStyle w:val="5"/>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0"/>
                <w:szCs w:val="20"/>
                <w:highlight w:val="none"/>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auto"/>
                <w:kern w:val="0"/>
                <w:sz w:val="24"/>
                <w:highlight w:val="none"/>
                <w:lang w:val="en-US" w:eastAsia="zh-CN"/>
              </w:rPr>
            </w:pPr>
            <w:r>
              <w:rPr>
                <w:rFonts w:ascii="Calibri" w:hAnsi="Calibri" w:cs="宋体"/>
                <w:color w:val="auto"/>
                <w:kern w:val="0"/>
                <w:sz w:val="20"/>
                <w:szCs w:val="20"/>
                <w:highlight w:val="none"/>
              </w:rPr>
              <w:t> </w:t>
            </w:r>
            <w:r>
              <w:rPr>
                <w:rFonts w:hint="eastAsia" w:ascii="Calibri" w:hAnsi="Calibri" w:cs="宋体"/>
                <w:color w:val="auto"/>
                <w:kern w:val="0"/>
                <w:sz w:val="20"/>
                <w:szCs w:val="20"/>
                <w:highlight w:val="none"/>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cs="宋体"/>
                <w:color w:val="auto"/>
                <w:kern w:val="0"/>
                <w:sz w:val="20"/>
                <w:szCs w:val="20"/>
                <w:highlight w:val="none"/>
                <w:lang w:val="en-US" w:eastAsia="zh-CN"/>
              </w:rPr>
            </w:pPr>
            <w:r>
              <w:rPr>
                <w:rFonts w:ascii="Calibri" w:hAnsi="Calibri" w:cs="宋体"/>
                <w:color w:val="auto"/>
                <w:kern w:val="0"/>
                <w:sz w:val="20"/>
                <w:szCs w:val="20"/>
                <w:highlight w:val="none"/>
              </w:rPr>
              <w:t> </w:t>
            </w:r>
            <w:r>
              <w:rPr>
                <w:rFonts w:hint="eastAsia" w:ascii="Calibri" w:hAnsi="Calibri" w:cs="宋体"/>
                <w:color w:val="auto"/>
                <w:kern w:val="0"/>
                <w:sz w:val="20"/>
                <w:szCs w:val="20"/>
                <w:highlight w:val="none"/>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cs="宋体"/>
                <w:color w:val="auto"/>
                <w:kern w:val="0"/>
                <w:sz w:val="20"/>
                <w:szCs w:val="20"/>
                <w:highlight w:val="none"/>
                <w:lang w:val="en-US" w:eastAsia="zh-CN"/>
              </w:rPr>
            </w:pPr>
            <w:r>
              <w:rPr>
                <w:rFonts w:ascii="Calibri" w:hAnsi="Calibri" w:cs="宋体"/>
                <w:color w:val="auto"/>
                <w:kern w:val="0"/>
                <w:sz w:val="20"/>
                <w:szCs w:val="20"/>
                <w:highlight w:val="none"/>
              </w:rPr>
              <w:t> </w:t>
            </w:r>
            <w:r>
              <w:rPr>
                <w:rFonts w:hint="eastAsia" w:ascii="Calibri" w:hAnsi="Calibri" w:cs="宋体"/>
                <w:color w:val="auto"/>
                <w:kern w:val="0"/>
                <w:sz w:val="20"/>
                <w:szCs w:val="20"/>
                <w:highlight w:val="none"/>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cs="宋体"/>
                <w:color w:val="auto"/>
                <w:kern w:val="0"/>
                <w:sz w:val="20"/>
                <w:szCs w:val="20"/>
                <w:highlight w:val="none"/>
                <w:lang w:val="en-US" w:eastAsia="zh-CN"/>
              </w:rPr>
            </w:pPr>
            <w:r>
              <w:rPr>
                <w:rFonts w:ascii="Calibri" w:hAnsi="Calibri" w:cs="宋体"/>
                <w:color w:val="auto"/>
                <w:kern w:val="0"/>
                <w:sz w:val="20"/>
                <w:szCs w:val="20"/>
                <w:highlight w:val="none"/>
              </w:rPr>
              <w:t> </w:t>
            </w:r>
            <w:r>
              <w:rPr>
                <w:rFonts w:hint="eastAsia" w:ascii="Calibri" w:hAnsi="Calibri" w:cs="宋体"/>
                <w:color w:val="auto"/>
                <w:kern w:val="0"/>
                <w:sz w:val="20"/>
                <w:szCs w:val="20"/>
                <w:highlight w:val="none"/>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cs="宋体"/>
                <w:color w:val="auto"/>
                <w:kern w:val="0"/>
                <w:sz w:val="20"/>
                <w:szCs w:val="20"/>
                <w:highlight w:val="none"/>
                <w:lang w:val="en-US" w:eastAsia="zh-CN"/>
              </w:rPr>
            </w:pPr>
            <w:r>
              <w:rPr>
                <w:rFonts w:ascii="Calibri" w:hAnsi="Calibri" w:cs="宋体"/>
                <w:color w:val="auto"/>
                <w:kern w:val="0"/>
                <w:sz w:val="20"/>
                <w:szCs w:val="20"/>
                <w:highlight w:val="none"/>
              </w:rPr>
              <w:t> </w:t>
            </w:r>
            <w:r>
              <w:rPr>
                <w:rFonts w:hint="eastAsia" w:ascii="Calibri" w:hAnsi="Calibri" w:cs="宋体"/>
                <w:color w:val="auto"/>
                <w:kern w:val="0"/>
                <w:sz w:val="20"/>
                <w:szCs w:val="20"/>
                <w:highlight w:val="none"/>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auto"/>
                <w:kern w:val="0"/>
                <w:sz w:val="20"/>
                <w:szCs w:val="20"/>
                <w:highlight w:val="none"/>
              </w:rPr>
            </w:pPr>
            <w:r>
              <w:rPr>
                <w:rFonts w:hint="eastAsia" w:ascii="Calibri" w:hAnsi="Calibri" w:cs="宋体"/>
                <w:color w:val="auto"/>
                <w:kern w:val="0"/>
                <w:sz w:val="20"/>
                <w:szCs w:val="20"/>
                <w:highlight w:val="none"/>
                <w:lang w:val="en-US" w:eastAsia="zh-CN"/>
              </w:rPr>
              <w:t>0</w:t>
            </w:r>
            <w:r>
              <w:rPr>
                <w:rFonts w:hint="eastAsia" w:ascii="Calibri" w:hAnsi="Calibri" w:cs="宋体"/>
                <w:color w:val="auto"/>
                <w:kern w:val="0"/>
                <w:sz w:val="20"/>
                <w:szCs w:val="20"/>
                <w:highlight w:val="none"/>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cs="宋体"/>
                <w:color w:val="auto"/>
                <w:kern w:val="0"/>
                <w:sz w:val="20"/>
                <w:szCs w:val="20"/>
                <w:highlight w:val="none"/>
                <w:lang w:val="en-US" w:eastAsia="zh-CN"/>
              </w:rPr>
            </w:pPr>
            <w:r>
              <w:rPr>
                <w:rFonts w:hint="eastAsia" w:ascii="Calibri" w:hAnsi="Calibri" w:cs="宋体"/>
                <w:color w:val="auto"/>
                <w:kern w:val="0"/>
                <w:sz w:val="20"/>
                <w:szCs w:val="20"/>
                <w:highlight w:val="none"/>
              </w:rPr>
              <w:t> </w:t>
            </w:r>
            <w:r>
              <w:rPr>
                <w:rFonts w:hint="eastAsia" w:ascii="Calibri" w:hAnsi="Calibri" w:cs="宋体"/>
                <w:color w:val="auto"/>
                <w:kern w:val="0"/>
                <w:sz w:val="20"/>
                <w:szCs w:val="20"/>
                <w:highlight w:val="none"/>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cs="宋体"/>
                <w:color w:val="auto"/>
                <w:kern w:val="0"/>
                <w:sz w:val="20"/>
                <w:szCs w:val="20"/>
                <w:highlight w:val="none"/>
                <w:lang w:val="en-US" w:eastAsia="zh-CN"/>
              </w:rPr>
            </w:pPr>
            <w:r>
              <w:rPr>
                <w:rFonts w:hint="eastAsia" w:ascii="Calibri" w:hAnsi="Calibri" w:cs="宋体"/>
                <w:color w:val="auto"/>
                <w:kern w:val="0"/>
                <w:sz w:val="20"/>
                <w:szCs w:val="20"/>
                <w:highlight w:val="none"/>
              </w:rPr>
              <w:t> </w:t>
            </w:r>
            <w:r>
              <w:rPr>
                <w:rFonts w:hint="eastAsia" w:ascii="Calibri" w:hAnsi="Calibri" w:cs="宋体"/>
                <w:color w:val="auto"/>
                <w:kern w:val="0"/>
                <w:sz w:val="20"/>
                <w:szCs w:val="20"/>
                <w:highlight w:val="none"/>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cs="宋体"/>
                <w:color w:val="auto"/>
                <w:kern w:val="0"/>
                <w:sz w:val="20"/>
                <w:szCs w:val="20"/>
                <w:highlight w:val="none"/>
                <w:lang w:val="en-US" w:eastAsia="zh-CN"/>
              </w:rPr>
            </w:pPr>
            <w:r>
              <w:rPr>
                <w:rFonts w:hint="eastAsia" w:ascii="Calibri" w:hAnsi="Calibri" w:cs="宋体"/>
                <w:color w:val="auto"/>
                <w:kern w:val="0"/>
                <w:sz w:val="20"/>
                <w:szCs w:val="20"/>
                <w:highlight w:val="none"/>
              </w:rPr>
              <w:t> </w:t>
            </w:r>
            <w:r>
              <w:rPr>
                <w:rFonts w:hint="eastAsia" w:ascii="Calibri" w:hAnsi="Calibri" w:cs="宋体"/>
                <w:color w:val="auto"/>
                <w:kern w:val="0"/>
                <w:sz w:val="20"/>
                <w:szCs w:val="20"/>
                <w:highlight w:val="none"/>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cs="宋体"/>
                <w:color w:val="auto"/>
                <w:kern w:val="0"/>
                <w:sz w:val="20"/>
                <w:szCs w:val="20"/>
                <w:highlight w:val="none"/>
                <w:lang w:val="en-US" w:eastAsia="zh-CN"/>
              </w:rPr>
            </w:pPr>
            <w:r>
              <w:rPr>
                <w:rFonts w:hint="eastAsia" w:ascii="Calibri" w:hAnsi="Calibri" w:cs="宋体"/>
                <w:color w:val="auto"/>
                <w:kern w:val="0"/>
                <w:sz w:val="20"/>
                <w:szCs w:val="20"/>
                <w:highlight w:val="none"/>
              </w:rPr>
              <w:t> </w:t>
            </w:r>
            <w:r>
              <w:rPr>
                <w:rFonts w:hint="eastAsia" w:ascii="Calibri" w:hAnsi="Calibri" w:cs="宋体"/>
                <w:color w:val="auto"/>
                <w:kern w:val="0"/>
                <w:sz w:val="20"/>
                <w:szCs w:val="20"/>
                <w:highlight w:val="none"/>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auto"/>
                <w:kern w:val="0"/>
                <w:sz w:val="20"/>
                <w:szCs w:val="20"/>
                <w:highlight w:val="none"/>
              </w:rPr>
            </w:pPr>
            <w:r>
              <w:rPr>
                <w:rFonts w:hint="eastAsia" w:ascii="Calibri" w:hAnsi="Calibri" w:cs="宋体"/>
                <w:color w:val="auto"/>
                <w:kern w:val="0"/>
                <w:sz w:val="20"/>
                <w:szCs w:val="20"/>
                <w:highlight w:val="none"/>
                <w:lang w:val="en-US" w:eastAsia="zh-CN"/>
              </w:rPr>
              <w:t>0</w:t>
            </w:r>
            <w:r>
              <w:rPr>
                <w:rFonts w:hint="eastAsia" w:ascii="Calibri" w:hAnsi="Calibri" w:cs="宋体"/>
                <w:color w:val="auto"/>
                <w:kern w:val="0"/>
                <w:sz w:val="20"/>
                <w:szCs w:val="20"/>
                <w:highlight w:val="none"/>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auto"/>
                <w:kern w:val="0"/>
                <w:sz w:val="20"/>
                <w:szCs w:val="20"/>
                <w:highlight w:val="none"/>
              </w:rPr>
            </w:pPr>
            <w:r>
              <w:rPr>
                <w:rFonts w:hint="eastAsia" w:ascii="Calibri" w:hAnsi="Calibri" w:cs="宋体"/>
                <w:color w:val="auto"/>
                <w:kern w:val="0"/>
                <w:sz w:val="20"/>
                <w:szCs w:val="20"/>
                <w:highlight w:val="none"/>
                <w:lang w:val="en-US" w:eastAsia="zh-CN"/>
              </w:rPr>
              <w:t>0</w:t>
            </w:r>
            <w:r>
              <w:rPr>
                <w:rFonts w:hint="eastAsia" w:ascii="Calibri" w:hAnsi="Calibri" w:cs="宋体"/>
                <w:color w:val="auto"/>
                <w:kern w:val="0"/>
                <w:sz w:val="20"/>
                <w:szCs w:val="20"/>
                <w:highlight w:val="none"/>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auto"/>
                <w:kern w:val="0"/>
                <w:sz w:val="20"/>
                <w:szCs w:val="20"/>
                <w:highlight w:val="none"/>
              </w:rPr>
            </w:pPr>
            <w:r>
              <w:rPr>
                <w:rFonts w:hint="eastAsia" w:ascii="Calibri" w:hAnsi="Calibri" w:cs="宋体"/>
                <w:color w:val="auto"/>
                <w:kern w:val="0"/>
                <w:sz w:val="20"/>
                <w:szCs w:val="20"/>
                <w:highlight w:val="none"/>
                <w:lang w:val="en-US" w:eastAsia="zh-CN"/>
              </w:rPr>
              <w:t>0</w:t>
            </w:r>
            <w:r>
              <w:rPr>
                <w:rFonts w:hint="eastAsia" w:ascii="Calibri" w:hAnsi="Calibri" w:cs="宋体"/>
                <w:color w:val="auto"/>
                <w:kern w:val="0"/>
                <w:sz w:val="20"/>
                <w:szCs w:val="20"/>
                <w:highlight w:val="none"/>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cs="宋体"/>
                <w:color w:val="auto"/>
                <w:kern w:val="0"/>
                <w:sz w:val="20"/>
                <w:szCs w:val="20"/>
                <w:highlight w:val="none"/>
                <w:lang w:val="en-US" w:eastAsia="zh-CN"/>
              </w:rPr>
            </w:pPr>
            <w:r>
              <w:rPr>
                <w:rFonts w:hint="eastAsia" w:ascii="Calibri" w:hAnsi="Calibri" w:cs="宋体"/>
                <w:color w:val="auto"/>
                <w:kern w:val="0"/>
                <w:sz w:val="20"/>
                <w:szCs w:val="20"/>
                <w:highlight w:val="none"/>
              </w:rPr>
              <w:t> </w:t>
            </w:r>
            <w:r>
              <w:rPr>
                <w:rFonts w:hint="eastAsia" w:ascii="Calibri" w:hAnsi="Calibri" w:cs="宋体"/>
                <w:color w:val="auto"/>
                <w:kern w:val="0"/>
                <w:sz w:val="20"/>
                <w:szCs w:val="20"/>
                <w:highlight w:val="none"/>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cs="宋体"/>
                <w:color w:val="auto"/>
                <w:kern w:val="0"/>
                <w:sz w:val="20"/>
                <w:szCs w:val="20"/>
                <w:highlight w:val="none"/>
                <w:lang w:val="en-US" w:eastAsia="zh-CN"/>
              </w:rPr>
            </w:pPr>
            <w:r>
              <w:rPr>
                <w:rFonts w:hint="eastAsia" w:ascii="Calibri" w:hAnsi="Calibri" w:cs="宋体"/>
                <w:color w:val="auto"/>
                <w:kern w:val="0"/>
                <w:sz w:val="20"/>
                <w:szCs w:val="20"/>
                <w:highlight w:val="none"/>
                <w:lang w:val="en-US" w:eastAsia="zh-CN"/>
              </w:rPr>
              <w:t>0</w:t>
            </w:r>
          </w:p>
        </w:tc>
      </w:tr>
    </w:tbl>
    <w:p>
      <w:pPr>
        <w:widowControl/>
        <w:spacing w:line="432" w:lineRule="atLeast"/>
        <w:jc w:val="center"/>
        <w:rPr>
          <w:rFonts w:hint="eastAsia" w:ascii="宋体" w:hAnsi="宋体" w:cs="宋体"/>
          <w:color w:val="auto"/>
          <w:kern w:val="0"/>
          <w:sz w:val="24"/>
          <w:highlight w:val="none"/>
        </w:rPr>
      </w:pPr>
    </w:p>
    <w:p>
      <w:pPr>
        <w:widowControl/>
        <w:spacing w:line="432" w:lineRule="atLeast"/>
        <w:ind w:firstLine="480"/>
        <w:rPr>
          <w:rFonts w:hint="eastAsia" w:ascii="宋体" w:hAnsi="宋体" w:cs="宋体"/>
          <w:color w:val="auto"/>
          <w:kern w:val="0"/>
          <w:sz w:val="24"/>
          <w:highlight w:val="none"/>
        </w:rPr>
      </w:pPr>
      <w:r>
        <w:rPr>
          <w:rFonts w:hint="eastAsia" w:ascii="宋体" w:hAnsi="宋体" w:cs="宋体"/>
          <w:b/>
          <w:bCs/>
          <w:color w:val="auto"/>
          <w:kern w:val="0"/>
          <w:sz w:val="24"/>
          <w:highlight w:val="none"/>
        </w:rPr>
        <w:t>五、存在的主要问题及改进情况</w:t>
      </w:r>
    </w:p>
    <w:p>
      <w:pPr>
        <w:widowControl/>
        <w:spacing w:line="432" w:lineRule="atLeast"/>
        <w:ind w:firstLine="480"/>
        <w:rPr>
          <w:rFonts w:hint="eastAsia" w:ascii="宋体" w:hAnsi="宋体" w:cs="宋体" w:eastAsiaTheme="minorEastAsia"/>
          <w:color w:val="auto"/>
          <w:kern w:val="0"/>
          <w:sz w:val="24"/>
          <w:highlight w:val="none"/>
          <w:lang w:eastAsia="zh-CN"/>
        </w:rPr>
      </w:pPr>
      <w:r>
        <w:rPr>
          <w:rFonts w:hint="eastAsia" w:ascii="宋体" w:hAnsi="宋体" w:cs="宋体"/>
          <w:color w:val="auto"/>
          <w:kern w:val="0"/>
          <w:sz w:val="24"/>
          <w:highlight w:val="none"/>
        </w:rPr>
        <w:t>1.政府信息公开</w:t>
      </w:r>
      <w:r>
        <w:rPr>
          <w:rFonts w:hint="eastAsia" w:ascii="宋体" w:hAnsi="宋体" w:cs="宋体"/>
          <w:color w:val="auto"/>
          <w:kern w:val="0"/>
          <w:sz w:val="24"/>
          <w:highlight w:val="none"/>
          <w:lang w:eastAsia="zh-CN"/>
        </w:rPr>
        <w:t>深度有待进一步挖掘。目前我局政府信息公开主要集中在各类医保政策及医保经办方面，公开事项深度不够，且事后公开多，事前、事中公开少，覆盖内容需进一步扩大。针对这一问题，需要全方位、多角度、多层次地解读医保政策及办法，持续推动重大决策预公开，让群众更好、更深地了解医保政务。</w:t>
      </w:r>
    </w:p>
    <w:p>
      <w:pPr>
        <w:widowControl/>
        <w:spacing w:line="432" w:lineRule="atLeast"/>
        <w:ind w:firstLine="48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rPr>
        <w:t>2.政府信息公开</w:t>
      </w:r>
      <w:r>
        <w:rPr>
          <w:rFonts w:hint="eastAsia" w:ascii="宋体" w:hAnsi="宋体" w:cs="宋体"/>
          <w:color w:val="auto"/>
          <w:kern w:val="0"/>
          <w:sz w:val="24"/>
          <w:highlight w:val="none"/>
          <w:lang w:eastAsia="zh-CN"/>
        </w:rPr>
        <w:t>频率有待进一步提高。目前我局仅按上级文件要求公开各类医保动态信息，公开的次数和频率不够多。针对这一问题，我局需强化政府信息公开意识，强化责任，协同推进，主动、及时、高效公开各类医保动态，进一步推动医保信息公开化、透明化。</w:t>
      </w:r>
    </w:p>
    <w:p>
      <w:pPr>
        <w:widowControl/>
        <w:spacing w:line="432" w:lineRule="atLeast"/>
        <w:ind w:firstLine="48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政府信息公开</w:t>
      </w:r>
      <w:r>
        <w:rPr>
          <w:rFonts w:hint="eastAsia" w:ascii="宋体" w:hAnsi="宋体" w:cs="宋体"/>
          <w:color w:val="auto"/>
          <w:kern w:val="0"/>
          <w:sz w:val="24"/>
          <w:highlight w:val="none"/>
          <w:lang w:eastAsia="zh-CN"/>
        </w:rPr>
        <w:t>反馈有待进一步畅通</w:t>
      </w:r>
      <w:r>
        <w:rPr>
          <w:rFonts w:hint="eastAsia" w:ascii="宋体" w:hAnsi="宋体" w:cs="宋体"/>
          <w:color w:val="auto"/>
          <w:kern w:val="0"/>
          <w:sz w:val="24"/>
          <w:highlight w:val="none"/>
        </w:rPr>
        <w:t>。目前我局</w:t>
      </w:r>
      <w:r>
        <w:rPr>
          <w:rFonts w:hint="eastAsia" w:ascii="宋体" w:hAnsi="宋体" w:cs="宋体"/>
          <w:color w:val="auto"/>
          <w:kern w:val="0"/>
          <w:sz w:val="24"/>
          <w:highlight w:val="none"/>
          <w:lang w:eastAsia="zh-CN"/>
        </w:rPr>
        <w:t>的政府信息公开侧重于公开，轻于反馈，尚未建立有效的反馈机制，无法及时跟进群众意见，没有对群众的问题作出反馈。针对这一问题，我局需完善政府信息公开制度，建立有效的信息反馈机制，认真倾听群众呼声，对群众的建议意见及时作出处理和反馈，更好地保障群众的医保领域利益。</w:t>
      </w:r>
    </w:p>
    <w:p>
      <w:pPr>
        <w:widowControl/>
        <w:spacing w:line="432" w:lineRule="atLeast"/>
        <w:ind w:firstLine="480"/>
        <w:rPr>
          <w:rFonts w:hint="eastAsia" w:ascii="宋体" w:hAnsi="宋体" w:cs="宋体"/>
          <w:color w:val="auto"/>
          <w:kern w:val="0"/>
          <w:sz w:val="24"/>
          <w:highlight w:val="none"/>
        </w:rPr>
      </w:pPr>
      <w:r>
        <w:rPr>
          <w:rFonts w:hint="eastAsia" w:ascii="宋体" w:hAnsi="宋体" w:cs="宋体"/>
          <w:b/>
          <w:bCs/>
          <w:color w:val="auto"/>
          <w:kern w:val="0"/>
          <w:sz w:val="24"/>
          <w:highlight w:val="none"/>
        </w:rPr>
        <w:t>六、其他需要报告的事项</w:t>
      </w:r>
    </w:p>
    <w:p>
      <w:pPr>
        <w:widowControl/>
        <w:spacing w:line="432" w:lineRule="atLeast"/>
        <w:ind w:firstLine="480"/>
        <w:rPr>
          <w:rFonts w:hint="default" w:ascii="宋体" w:hAnsi="宋体" w:cs="宋体" w:eastAsiaTheme="minorEastAsia"/>
          <w:color w:val="auto"/>
          <w:kern w:val="0"/>
          <w:sz w:val="24"/>
          <w:highlight w:val="none"/>
          <w:lang w:val="en-US" w:eastAsia="zh-CN"/>
        </w:rPr>
      </w:pPr>
      <w:r>
        <w:rPr>
          <w:rFonts w:hint="eastAsia" w:ascii="宋体" w:hAnsi="宋体" w:cs="宋体"/>
          <w:color w:val="auto"/>
          <w:kern w:val="0"/>
          <w:sz w:val="24"/>
          <w:highlight w:val="none"/>
          <w:lang w:val="en-US" w:eastAsia="zh-CN"/>
        </w:rPr>
        <w:t>2021年，我局将继续贯彻落实政府信息公开制度，进一步完善政务信息公开体系，持续做好政府信息公开工作。</w:t>
      </w:r>
    </w:p>
    <w:p>
      <w:pPr>
        <w:widowControl/>
        <w:spacing w:line="432" w:lineRule="atLeast"/>
        <w:ind w:firstLine="480"/>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1.加强组织领导。进一步强化我局政府信息公开工作组织领导，</w:t>
      </w:r>
      <w:r>
        <w:rPr>
          <w:rFonts w:hint="eastAsia" w:ascii="宋体" w:hAnsi="宋体" w:cs="宋体"/>
          <w:color w:val="auto"/>
          <w:kern w:val="0"/>
          <w:sz w:val="24"/>
          <w:highlight w:val="none"/>
        </w:rPr>
        <w:t>提升政府信息公开领导小组的思想认识和工作能力，</w:t>
      </w:r>
      <w:r>
        <w:rPr>
          <w:rFonts w:hint="eastAsia" w:ascii="宋体" w:hAnsi="宋体" w:cs="宋体"/>
          <w:color w:val="auto"/>
          <w:kern w:val="0"/>
          <w:sz w:val="24"/>
          <w:highlight w:val="none"/>
          <w:lang w:eastAsia="zh-CN"/>
        </w:rPr>
        <w:t>对上年工作进行全面总结，分析存在问题，拿出解决办法，明确并布置</w:t>
      </w:r>
      <w:r>
        <w:rPr>
          <w:rFonts w:hint="eastAsia" w:ascii="宋体" w:hAnsi="宋体" w:cs="宋体"/>
          <w:color w:val="auto"/>
          <w:kern w:val="0"/>
          <w:sz w:val="24"/>
          <w:highlight w:val="none"/>
          <w:lang w:val="en-US" w:eastAsia="zh-CN"/>
        </w:rPr>
        <w:t>2021年工作任务，并持续做好领导工作。</w:t>
      </w:r>
    </w:p>
    <w:p>
      <w:pPr>
        <w:widowControl/>
        <w:spacing w:line="432" w:lineRule="atLeast"/>
        <w:ind w:firstLine="480"/>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加强网站建设。进一步加强对我局政府信息公开网站的建设和优化，及时做好各项政府信息公开，全面发布各类医保领域信息，高频次更新医保动态，不断梳理、完善各类信息内容，确保公开信息准确、及时，切合群众关切要点。</w:t>
      </w:r>
    </w:p>
    <w:p>
      <w:pPr>
        <w:widowControl/>
        <w:spacing w:line="432" w:lineRule="atLeast"/>
        <w:ind w:firstLine="480"/>
        <w:rPr>
          <w:color w:val="auto"/>
          <w:highlight w:val="none"/>
        </w:rPr>
      </w:pPr>
      <w:r>
        <w:rPr>
          <w:rFonts w:hint="eastAsia" w:ascii="宋体" w:hAnsi="宋体" w:cs="宋体"/>
          <w:color w:val="auto"/>
          <w:kern w:val="0"/>
          <w:sz w:val="24"/>
          <w:highlight w:val="none"/>
          <w:lang w:val="en-US" w:eastAsia="zh-CN"/>
        </w:rPr>
        <w:t>3.加强监督检查。进一步加强对我局政府信息公开工作的检查和监督，每月对网站信息公开目录及子目录进行逐项核查，对发现的问题及时进行整改，确保政府信息公开及时、准确、完善。</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
    <w:panose1 w:val="02010609060101010101"/>
    <w:charset w:val="86"/>
    <w:family w:val="swiss"/>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lang w:val="zh-CN" w:eastAsia="zh-CN"/>
      </w:rPr>
      <w:t>10</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219581">
    <w:nsid w:val="6009427D"/>
    <w:multiLevelType w:val="singleLevel"/>
    <w:tmpl w:val="6009427D"/>
    <w:lvl w:ilvl="0" w:tentative="1">
      <w:start w:val="1"/>
      <w:numFmt w:val="decimal"/>
      <w:suff w:val="nothing"/>
      <w:lvlText w:val="%1."/>
      <w:lvlJc w:val="left"/>
    </w:lvl>
  </w:abstractNum>
  <w:num w:numId="1">
    <w:abstractNumId w:val="16112195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0152145D"/>
    <w:rsid w:val="03400285"/>
    <w:rsid w:val="051B1163"/>
    <w:rsid w:val="07717923"/>
    <w:rsid w:val="0E6E27C8"/>
    <w:rsid w:val="0FE67F23"/>
    <w:rsid w:val="10AA2375"/>
    <w:rsid w:val="10D30572"/>
    <w:rsid w:val="10E55348"/>
    <w:rsid w:val="112D48D1"/>
    <w:rsid w:val="134025CD"/>
    <w:rsid w:val="17723D2F"/>
    <w:rsid w:val="17997876"/>
    <w:rsid w:val="195E27F3"/>
    <w:rsid w:val="1CD936E0"/>
    <w:rsid w:val="211A74FE"/>
    <w:rsid w:val="219F1AEE"/>
    <w:rsid w:val="224D7483"/>
    <w:rsid w:val="230E613B"/>
    <w:rsid w:val="26FB677F"/>
    <w:rsid w:val="28E72BAF"/>
    <w:rsid w:val="297B49E7"/>
    <w:rsid w:val="2B34747B"/>
    <w:rsid w:val="2B3C2B7F"/>
    <w:rsid w:val="2C244EE3"/>
    <w:rsid w:val="2C826EC8"/>
    <w:rsid w:val="2E184A4A"/>
    <w:rsid w:val="2ED80281"/>
    <w:rsid w:val="30685C2A"/>
    <w:rsid w:val="32BF4A19"/>
    <w:rsid w:val="33A012B0"/>
    <w:rsid w:val="34AE217C"/>
    <w:rsid w:val="37E36468"/>
    <w:rsid w:val="381079E4"/>
    <w:rsid w:val="3BFB1584"/>
    <w:rsid w:val="3C2D226C"/>
    <w:rsid w:val="3E9906BB"/>
    <w:rsid w:val="3F6528A1"/>
    <w:rsid w:val="4045722C"/>
    <w:rsid w:val="407C596C"/>
    <w:rsid w:val="41FC327C"/>
    <w:rsid w:val="47C70903"/>
    <w:rsid w:val="48435F15"/>
    <w:rsid w:val="48544EF5"/>
    <w:rsid w:val="4867124D"/>
    <w:rsid w:val="49CF05D6"/>
    <w:rsid w:val="49EE756C"/>
    <w:rsid w:val="4BF80F03"/>
    <w:rsid w:val="4FD7058C"/>
    <w:rsid w:val="4FFC76D3"/>
    <w:rsid w:val="50621A0A"/>
    <w:rsid w:val="53DB5B3D"/>
    <w:rsid w:val="568862B1"/>
    <w:rsid w:val="59317DFC"/>
    <w:rsid w:val="5A957F3F"/>
    <w:rsid w:val="5C6A55A5"/>
    <w:rsid w:val="5CE65D38"/>
    <w:rsid w:val="5CF81126"/>
    <w:rsid w:val="5DEC5C58"/>
    <w:rsid w:val="6496076C"/>
    <w:rsid w:val="66291416"/>
    <w:rsid w:val="6631206A"/>
    <w:rsid w:val="692F7594"/>
    <w:rsid w:val="698C390D"/>
    <w:rsid w:val="6C195E40"/>
    <w:rsid w:val="6DF71A78"/>
    <w:rsid w:val="6E2E0709"/>
    <w:rsid w:val="6F004FC9"/>
    <w:rsid w:val="71825361"/>
    <w:rsid w:val="74A92FA0"/>
    <w:rsid w:val="7BA9232C"/>
    <w:rsid w:val="93F8B5B9"/>
    <w:rsid w:val="B5FEF48E"/>
    <w:rsid w:val="FD77F58A"/>
    <w:rsid w:val="FF2EEF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2020-01-10T10:06:00Z</dcterms:created>
  <dc:creator>zj</dc:creator>
  <cp:lastModifiedBy>hp</cp:lastModifiedBy>
  <cp:lastPrinted>2021-01-14T11:23:00Z</cp:lastPrinted>
  <dcterms:modified xsi:type="dcterms:W3CDTF">2021-01-22T01:29:32Z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