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海盐县司法局</w:t>
      </w:r>
      <w:r>
        <w:rPr>
          <w:rFonts w:hint="eastAsia" w:ascii="黑体" w:hAnsi="黑体" w:eastAsia="黑体" w:cs="黑体"/>
          <w:color w:val="000000"/>
          <w:sz w:val="44"/>
          <w:szCs w:val="44"/>
        </w:rPr>
        <w:t>20</w:t>
      </w:r>
      <w:r>
        <w:rPr>
          <w:rFonts w:hint="eastAsia" w:ascii="黑体" w:hAnsi="黑体" w:eastAsia="黑体" w:cs="黑体"/>
          <w:color w:val="000000"/>
          <w:sz w:val="44"/>
          <w:szCs w:val="44"/>
          <w:lang w:val="en-US" w:eastAsia="zh-CN"/>
        </w:rPr>
        <w:t>21</w:t>
      </w:r>
      <w:r>
        <w:rPr>
          <w:rFonts w:hint="eastAsia" w:ascii="黑体" w:hAnsi="黑体" w:eastAsia="黑体" w:cs="黑体"/>
          <w:color w:val="000000"/>
          <w:sz w:val="44"/>
          <w:szCs w:val="44"/>
        </w:rPr>
        <w:t>年度政府信息公开工作年度报告</w:t>
      </w:r>
    </w:p>
    <w:p>
      <w:pPr>
        <w:pStyle w:val="2"/>
        <w:keepNext w:val="0"/>
        <w:keepLines w:val="0"/>
        <w:pageBreakBefore w:val="0"/>
        <w:kinsoku/>
        <w:wordWrap/>
        <w:overflowPunct/>
        <w:topLinePunct w:val="0"/>
        <w:autoSpaceDE/>
        <w:autoSpaceDN/>
        <w:bidi w:val="0"/>
        <w:adjustRightInd/>
        <w:snapToGrid w:val="0"/>
        <w:spacing w:line="360" w:lineRule="auto"/>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年度报告是根据《中华人民共和国政府信息公开条例》（以下简称《条例》）要求编制而成。本报告由总体情况、主动公开政府信息情况、收到和处理政府信息公开申请情况、政府信息公开行政复议及行政诉讼情况、存在的主要问题及改进措施、其他需要报告的事项组成。本报告中所列数据的统计时间为2021年1月1日至2021年12月31日。</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rPr>
          <w:rFonts w:hint="eastAsia" w:ascii="黑体" w:hAnsi="黑体" w:eastAsia="黑体" w:cs="黑体"/>
          <w:b w:val="0"/>
          <w:bCs/>
          <w:i w:val="0"/>
          <w:caps w:val="0"/>
          <w:color w:val="333333"/>
          <w:spacing w:val="0"/>
          <w:kern w:val="2"/>
          <w:sz w:val="32"/>
          <w:szCs w:val="32"/>
          <w:shd w:val="clear" w:color="auto" w:fill="FFFFFF"/>
          <w:lang w:val="en-US" w:eastAsia="zh-CN" w:bidi="ar-SA"/>
        </w:rPr>
      </w:pPr>
      <w:r>
        <w:rPr>
          <w:rFonts w:hint="eastAsia" w:ascii="黑体" w:hAnsi="黑体" w:eastAsia="黑体" w:cs="黑体"/>
          <w:b w:val="0"/>
          <w:bCs/>
          <w:i w:val="0"/>
          <w:caps w:val="0"/>
          <w:color w:val="333333"/>
          <w:spacing w:val="0"/>
          <w:kern w:val="2"/>
          <w:sz w:val="32"/>
          <w:szCs w:val="32"/>
          <w:shd w:val="clear" w:color="auto" w:fill="FFFFFF"/>
          <w:lang w:val="en-US" w:eastAsia="zh-CN" w:bidi="ar-SA"/>
        </w:rPr>
        <w:t>一、总体情况</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sz w:val="32"/>
          <w:szCs w:val="32"/>
          <w:lang w:eastAsia="zh-CN"/>
        </w:rPr>
        <w:t>（一）主动公开情况。</w:t>
      </w:r>
      <w:r>
        <w:rPr>
          <w:rFonts w:hint="eastAsia" w:ascii="仿宋_GB2312" w:hAnsi="仿宋_GB2312" w:eastAsia="仿宋_GB2312" w:cs="仿宋_GB2312"/>
          <w:color w:val="auto"/>
          <w:kern w:val="2"/>
          <w:sz w:val="32"/>
          <w:szCs w:val="32"/>
          <w:lang w:val="en-US" w:eastAsia="zh-CN" w:bidi="ar-SA"/>
        </w:rPr>
        <w:t>2021年度，本机关在海盐县人民政府网站政府信息公开专栏主动公开各类信息141条，其中公共法律服务重点领域公开信息31条；在“海盐普法在线”微信公众号发布工作动态、普法资讯等284条。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是发布法律政策解读。聚焦“八五”普法和法律服务专项行动，转载发布权威信息2条、政策解读图文信息3条，公开工作信息52条。根据群众关心的热点难点、新颁布的法律法规等，通过“法治海盐”媒体普法栏目、“盐邑说法”点单服务、“法德品戏”文艺演出等开展法律法规政策宣讲和咨询服务358场次。</w:t>
      </w:r>
    </w:p>
    <w:p>
      <w:pPr>
        <w:pStyle w:val="2"/>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是抓好社会关切回应和政民互动。通过“12348”法律服务热线、网上咨询等公众参与平台，充分收集、及时回应公众诉求800余人次。开展司法行政开放日活动2次，通过参观、座谈等形式，广泛征集群众意见建议，营造良好的政务公开工作氛围。</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是提升政务公开理念。将《条例》和政务公开相关内容纳入2021年度非人大常委会任命领导干部任前法律知识考试、行政执法人员法律素质测试和全县公务员法律知识考试范围，提升全县领导干部和行政机关工作人员政务公开理念、能力和水平。</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sz w:val="32"/>
          <w:szCs w:val="32"/>
          <w:lang w:eastAsia="zh-CN"/>
        </w:rPr>
        <w:t>（二）依申请公开情况。</w:t>
      </w:r>
      <w:r>
        <w:rPr>
          <w:rFonts w:hint="eastAsia" w:ascii="仿宋_GB2312" w:hAnsi="仿宋_GB2312" w:eastAsia="仿宋_GB2312" w:cs="仿宋_GB2312"/>
          <w:color w:val="auto"/>
          <w:kern w:val="2"/>
          <w:sz w:val="32"/>
          <w:szCs w:val="32"/>
          <w:lang w:val="en-US" w:eastAsia="zh-CN" w:bidi="ar-SA"/>
        </w:rPr>
        <w:t>2021年，本机关没有收到公民、法人和其他组织提出的政府信息公开申请，没有发生针对本机关政府信息公开工作的行政复议、行政诉讼。</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sz w:val="32"/>
          <w:szCs w:val="32"/>
          <w:lang w:eastAsia="zh-CN"/>
        </w:rPr>
        <w:t>（三）政府信息管理情况。</w:t>
      </w:r>
      <w:r>
        <w:rPr>
          <w:rFonts w:hint="eastAsia" w:ascii="仿宋_GB2312" w:hAnsi="仿宋_GB2312" w:eastAsia="仿宋_GB2312" w:cs="仿宋_GB2312"/>
          <w:color w:val="auto"/>
          <w:kern w:val="2"/>
          <w:sz w:val="32"/>
          <w:szCs w:val="32"/>
          <w:lang w:val="en-US" w:eastAsia="zh-CN" w:bidi="ar-SA"/>
        </w:rPr>
        <w:t>完善政务信息常态化管理机制，建立健全政务信息源头认定、保密审查、发布审核、动态调整等制度，确保政府信息有章可循、管理规范。</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sz w:val="32"/>
          <w:szCs w:val="32"/>
          <w:lang w:eastAsia="zh-CN"/>
        </w:rPr>
        <w:t>（四）平台建设情况。</w:t>
      </w:r>
      <w:r>
        <w:rPr>
          <w:rFonts w:hint="eastAsia" w:ascii="仿宋_GB2312" w:hAnsi="仿宋_GB2312" w:eastAsia="仿宋_GB2312" w:cs="仿宋_GB2312"/>
          <w:color w:val="auto"/>
          <w:kern w:val="2"/>
          <w:sz w:val="32"/>
          <w:szCs w:val="32"/>
          <w:lang w:val="en-US" w:eastAsia="zh-CN" w:bidi="ar-SA"/>
        </w:rPr>
        <w:t>强化政府信息公开网站专栏管理，落实专人负责日常运维、政策解读、互动交流等工作，实行每月一检查，保证各栏目更新频率。畅通公共法律服务热线、法网和政务服务网、海盐普法在线微信和公共法律服务微自助机“一线两网两微”线上多元渠道，线下拓展法治文化公园街区建设，建成法治文化街区、长廊、公园等53处，各类法治宣传橱窗120余个。</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000000"/>
          <w:sz w:val="32"/>
          <w:szCs w:val="32"/>
          <w:lang w:eastAsia="zh-CN"/>
        </w:rPr>
        <w:t>（五）监督保障情况。</w:t>
      </w:r>
      <w:r>
        <w:rPr>
          <w:rFonts w:hint="eastAsia" w:ascii="仿宋_GB2312" w:hAnsi="仿宋_GB2312" w:eastAsia="仿宋_GB2312" w:cs="仿宋_GB2312"/>
          <w:color w:val="auto"/>
          <w:kern w:val="2"/>
          <w:sz w:val="32"/>
          <w:szCs w:val="32"/>
          <w:lang w:val="en-US" w:eastAsia="zh-CN" w:bidi="ar-SA"/>
        </w:rPr>
        <w:t>严格政府信息公开制度，定期对科室处所重要政务信息公开和咨询内容回应情况开展监督和评估，同时，在政府信息公开指南中公开监督举报方式，接受公众监督。2021年没有收到针对本机关政府信息公开有关的投诉和举报，也未发生其他责任追究的情形。</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Calibri" w:hAnsi="Calibri" w:cs="Calibri"/>
                <w:kern w:val="0"/>
                <w:sz w:val="20"/>
                <w:szCs w:val="20"/>
                <w:lang w:val="en-US" w:eastAsia="zh-CN" w:bidi="ar"/>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sz w:val="24"/>
                <w:szCs w:val="24"/>
              </w:rPr>
            </w:pPr>
            <w:r>
              <w:rPr>
                <w:rFonts w:hint="eastAsia" w:ascii="Calibri" w:hAnsi="Calibri" w:cs="Calibri"/>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r>
    </w:tbl>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eastAsia="宋体"/>
                <w:sz w:val="24"/>
                <w:szCs w:val="24"/>
                <w:lang w:val="en-US" w:eastAsia="zh-CN"/>
              </w:rPr>
            </w:pPr>
            <w:r>
              <w:rPr>
                <w:rFonts w:hint="eastAsia" w:ascii="黑体" w:hAnsi="宋体" w:eastAsia="黑体" w:cs="黑体"/>
                <w:kern w:val="0"/>
                <w:sz w:val="20"/>
                <w:szCs w:val="20"/>
                <w:lang w:val="en-US" w:eastAsia="zh-CN" w:bidi="ar"/>
              </w:rPr>
              <w:t>0</w:t>
            </w:r>
          </w:p>
        </w:tc>
      </w:tr>
    </w:tbl>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640" w:firstLineChars="200"/>
        <w:jc w:val="left"/>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lang w:val="en-US" w:eastAsia="zh-CN"/>
        </w:rPr>
        <w:t>五、</w:t>
      </w:r>
      <w:r>
        <w:rPr>
          <w:rFonts w:hint="eastAsia" w:ascii="黑体" w:hAnsi="黑体" w:eastAsia="黑体" w:cs="黑体"/>
          <w:b w:val="0"/>
          <w:bCs/>
          <w:i w:val="0"/>
          <w:caps w:val="0"/>
          <w:color w:val="333333"/>
          <w:spacing w:val="0"/>
          <w:sz w:val="32"/>
          <w:szCs w:val="32"/>
          <w:shd w:val="clear" w:color="auto" w:fill="FFFFFF"/>
        </w:rPr>
        <w:t>存在的主要问题及</w:t>
      </w:r>
      <w:bookmarkStart w:id="0" w:name="_GoBack"/>
      <w:bookmarkEnd w:id="0"/>
      <w:r>
        <w:rPr>
          <w:rFonts w:hint="eastAsia" w:ascii="黑体" w:hAnsi="黑体" w:eastAsia="黑体" w:cs="黑体"/>
          <w:b w:val="0"/>
          <w:bCs/>
          <w:i w:val="0"/>
          <w:caps w:val="0"/>
          <w:color w:val="333333"/>
          <w:spacing w:val="0"/>
          <w:sz w:val="32"/>
          <w:szCs w:val="32"/>
          <w:shd w:val="clear" w:color="auto" w:fill="FFFFFF"/>
        </w:rPr>
        <w:t>改进情况</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640" w:firstLineChars="200"/>
        <w:jc w:val="left"/>
        <w:textAlignment w:val="auto"/>
        <w:rPr>
          <w:rFonts w:hint="eastAsia" w:ascii="仿宋_GB2312" w:hAnsi="仿宋_GB2312" w:eastAsia="仿宋_GB2312" w:cs="仿宋_GB2312"/>
          <w:b w:val="0"/>
          <w:bCs/>
          <w:i w:val="0"/>
          <w:caps w:val="0"/>
          <w:color w:val="auto"/>
          <w:spacing w:val="0"/>
          <w:kern w:val="2"/>
          <w:sz w:val="32"/>
          <w:szCs w:val="32"/>
          <w:shd w:val="clear" w:color="auto" w:fill="FFFFFF"/>
          <w:lang w:val="en" w:eastAsia="zh-CN" w:bidi="ar-SA"/>
        </w:rPr>
      </w:pPr>
      <w:r>
        <w:rPr>
          <w:rFonts w:hint="eastAsia" w:ascii="楷体_GB2312" w:hAnsi="楷体_GB2312" w:eastAsia="楷体_GB2312" w:cs="楷体_GB2312"/>
          <w:color w:val="000000"/>
          <w:sz w:val="32"/>
          <w:szCs w:val="32"/>
          <w:lang w:val="en" w:eastAsia="zh-CN"/>
        </w:rPr>
        <w:t>（一）存在的主要问题。</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一是政策解读存在发布较少和形式单一问题；二是依申请公开规范性仍有待加强。</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楷体_GB2312" w:hAnsi="楷体_GB2312" w:eastAsia="楷体_GB2312" w:cs="楷体_GB2312"/>
          <w:color w:val="000000"/>
          <w:sz w:val="32"/>
          <w:szCs w:val="32"/>
          <w:lang w:val="en-US" w:eastAsia="zh-CN"/>
        </w:rPr>
        <w:t>（二）改进措施。</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一是严格落实解读多样化，运用图表图解、视频音频、案例说明等方式开展解读，及时准确回应政策实施中的问题。二是</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健全依申请公开答复体系，加强答复规范指引，进一步提高依申请公开答复水平。</w:t>
      </w: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其他需要报告的事项</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rPr>
          <w:rFonts w:hint="default" w:ascii="仿宋_GB2312" w:hAnsi="仿宋_GB2312" w:eastAsia="仿宋_GB2312" w:cs="仿宋_GB2312"/>
          <w:b w:val="0"/>
          <w:bCs/>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海盐县司法局2021年未收取政府信息公开相关处理费。</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4FC37"/>
    <w:multiLevelType w:val="singleLevel"/>
    <w:tmpl w:val="4494FC3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5759B"/>
    <w:rsid w:val="1F507054"/>
    <w:rsid w:val="286722CF"/>
    <w:rsid w:val="2D061231"/>
    <w:rsid w:val="2DEF6E3B"/>
    <w:rsid w:val="32A5759B"/>
    <w:rsid w:val="344A65D3"/>
    <w:rsid w:val="3A976388"/>
    <w:rsid w:val="48E72288"/>
    <w:rsid w:val="62823FF2"/>
    <w:rsid w:val="6D947D40"/>
    <w:rsid w:val="78B21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First Indent 2"/>
    <w:basedOn w:val="1"/>
    <w:qFormat/>
    <w:uiPriority w:val="0"/>
    <w:pPr>
      <w:ind w:firstLine="420" w:firstLineChars="200"/>
    </w:pPr>
    <w:rPr>
      <w:rFonts w:eastAsia="仿宋"/>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2022-01-14T06:43:00Z</dcterms:created>
  <dc:creator>WPS_1527835952</dc:creator>
  <cp:lastModifiedBy>WPS_1527835952</cp:lastModifiedBy>
  <dcterms:modified xsi:type="dcterms:W3CDTF">2022-01-24T07:49:03Z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A17CB725230544AE9AEE64E9B1372FE3</vt:lpwstr>
  </property>
</Properties>
</file>