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rPr>
          <w:rFonts w:hint="eastAsia" w:ascii="宋体" w:hAnsi="宋体" w:cs="宋体"/>
          <w:color w:val="000000"/>
          <w:kern w:val="0"/>
          <w:sz w:val="24"/>
        </w:rPr>
      </w:pPr>
    </w:p>
    <w:p>
      <w:pPr>
        <w:widowControl/>
        <w:spacing w:line="432" w:lineRule="atLeast"/>
        <w:rPr>
          <w:rFonts w:hint="eastAsia" w:ascii="宋体" w:hAnsi="宋体" w:cs="宋体"/>
          <w:color w:val="000000"/>
          <w:kern w:val="0"/>
          <w:sz w:val="24"/>
        </w:rPr>
      </w:pPr>
      <w:r>
        <w:rPr>
          <w:rFonts w:hint="eastAsia" w:ascii="宋体" w:hAnsi="宋体" w:cs="宋体"/>
          <w:b/>
          <w:bCs/>
          <w:color w:val="000000"/>
          <w:kern w:val="0"/>
          <w:sz w:val="36"/>
          <w:szCs w:val="36"/>
          <w:lang w:val="en-US" w:eastAsia="zh-CN"/>
        </w:rPr>
        <w:t xml:space="preserve"> </w:t>
      </w:r>
      <w:r>
        <w:rPr>
          <w:rFonts w:hint="eastAsia" w:ascii="宋体" w:hAnsi="宋体" w:cs="宋体"/>
          <w:b/>
          <w:bCs/>
          <w:color w:val="000000"/>
          <w:kern w:val="0"/>
          <w:sz w:val="36"/>
          <w:szCs w:val="36"/>
        </w:rPr>
        <w:t>海盐县</w:t>
      </w:r>
      <w:r>
        <w:rPr>
          <w:rFonts w:hint="eastAsia" w:ascii="宋体" w:hAnsi="宋体" w:cs="宋体"/>
          <w:b/>
          <w:bCs/>
          <w:color w:val="000000"/>
          <w:kern w:val="0"/>
          <w:sz w:val="36"/>
          <w:szCs w:val="36"/>
          <w:lang w:eastAsia="zh-CN"/>
        </w:rPr>
        <w:t>水利</w:t>
      </w:r>
      <w:r>
        <w:rPr>
          <w:rFonts w:hint="eastAsia" w:ascii="宋体" w:hAnsi="宋体" w:cs="宋体"/>
          <w:b/>
          <w:bCs/>
          <w:color w:val="000000"/>
          <w:kern w:val="0"/>
          <w:sz w:val="36"/>
          <w:szCs w:val="36"/>
        </w:rPr>
        <w:t>局20</w:t>
      </w:r>
      <w:r>
        <w:rPr>
          <w:rFonts w:hint="eastAsia" w:ascii="宋体" w:hAnsi="宋体" w:cs="宋体"/>
          <w:b/>
          <w:bCs/>
          <w:color w:val="000000"/>
          <w:kern w:val="0"/>
          <w:sz w:val="36"/>
          <w:szCs w:val="36"/>
          <w:lang w:val="en-US" w:eastAsia="zh-CN"/>
        </w:rPr>
        <w:t>20</w:t>
      </w:r>
      <w:r>
        <w:rPr>
          <w:rFonts w:hint="eastAsia" w:ascii="宋体" w:hAnsi="宋体" w:cs="宋体"/>
          <w:b/>
          <w:bCs/>
          <w:color w:val="000000"/>
          <w:kern w:val="0"/>
          <w:sz w:val="36"/>
          <w:szCs w:val="36"/>
        </w:rPr>
        <w:t>年</w:t>
      </w:r>
      <w:r>
        <w:rPr>
          <w:rFonts w:hint="eastAsia" w:ascii="宋体" w:hAnsi="宋体" w:cs="宋体"/>
          <w:b/>
          <w:bCs/>
          <w:color w:val="000000"/>
          <w:kern w:val="0"/>
          <w:sz w:val="36"/>
          <w:szCs w:val="36"/>
          <w:lang w:eastAsia="zh-CN"/>
        </w:rPr>
        <w:t>度</w:t>
      </w:r>
      <w:r>
        <w:rPr>
          <w:rFonts w:hint="eastAsia" w:ascii="宋体" w:hAnsi="宋体" w:cs="宋体"/>
          <w:b/>
          <w:bCs/>
          <w:color w:val="000000"/>
          <w:kern w:val="0"/>
          <w:sz w:val="36"/>
          <w:szCs w:val="36"/>
        </w:rPr>
        <w:t>政府信息公开工作年度报告</w:t>
      </w:r>
    </w:p>
    <w:p>
      <w:pPr>
        <w:spacing w:line="580" w:lineRule="exact"/>
        <w:rPr>
          <w:rFonts w:hint="eastAsia" w:ascii="仿宋" w:hAnsi="仿宋" w:eastAsia="仿宋" w:cs="仿宋"/>
          <w:sz w:val="28"/>
          <w:szCs w:val="28"/>
        </w:rPr>
      </w:pPr>
      <w:r>
        <w:rPr>
          <w:rFonts w:hint="eastAsia" w:ascii="仿宋" w:hAnsi="仿宋" w:eastAsia="仿宋" w:cs="仿宋"/>
          <w:sz w:val="28"/>
          <w:szCs w:val="28"/>
        </w:rPr>
        <w:t>局机关各科室、局属各单位：</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根据《中华人民共和国政府信息公开条例》（以下简称《条例》），现向社会公布20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年度我局信息公开工作年度报告。全文包括总体情况、主动公开政府信息情况、收到和处理政府信息公开申请情况、政府信息公开申请行政复议、提起行政诉讼情况、存在的主要问题及改进情况</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其他需要报告的事项</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并附有指标统计表。本报告中所列数据的统计期限自20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年1月1日起至20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年12月31日止。如对本年度报告有疑问，请与海盐县</w:t>
      </w:r>
      <w:r>
        <w:rPr>
          <w:rFonts w:hint="eastAsia" w:ascii="仿宋" w:hAnsi="仿宋" w:eastAsia="仿宋" w:cs="仿宋"/>
          <w:color w:val="000000"/>
          <w:kern w:val="0"/>
          <w:sz w:val="28"/>
          <w:szCs w:val="28"/>
          <w:lang w:eastAsia="zh-CN"/>
        </w:rPr>
        <w:t>水利</w:t>
      </w:r>
      <w:r>
        <w:rPr>
          <w:rFonts w:hint="eastAsia" w:ascii="仿宋" w:hAnsi="仿宋" w:eastAsia="仿宋" w:cs="仿宋"/>
          <w:color w:val="000000"/>
          <w:kern w:val="0"/>
          <w:sz w:val="28"/>
          <w:szCs w:val="28"/>
        </w:rPr>
        <w:t>局联系（地址：海盐县武原街道朝阳西路186号，邮编：314300，电话：86024</w:t>
      </w:r>
      <w:r>
        <w:rPr>
          <w:rFonts w:hint="eastAsia" w:ascii="仿宋" w:hAnsi="仿宋" w:eastAsia="仿宋" w:cs="仿宋"/>
          <w:color w:val="000000"/>
          <w:kern w:val="0"/>
          <w:sz w:val="28"/>
          <w:szCs w:val="28"/>
          <w:lang w:val="en-US" w:eastAsia="zh-CN"/>
        </w:rPr>
        <w:t>706</w:t>
      </w:r>
      <w:r>
        <w:rPr>
          <w:rFonts w:hint="eastAsia" w:ascii="仿宋" w:hAnsi="仿宋" w:eastAsia="仿宋" w:cs="仿宋"/>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一、总体情况</w:t>
      </w:r>
    </w:p>
    <w:p>
      <w:pPr>
        <w:keepNext w:val="0"/>
        <w:keepLines w:val="0"/>
        <w:pageBreakBefore w:val="0"/>
        <w:widowControl/>
        <w:kinsoku/>
        <w:wordWrap/>
        <w:overflowPunct/>
        <w:topLinePunct w:val="0"/>
        <w:autoSpaceDE/>
        <w:autoSpaceDN/>
        <w:bidi w:val="0"/>
        <w:adjustRightInd/>
        <w:snapToGrid/>
        <w:spacing w:line="540" w:lineRule="exact"/>
        <w:ind w:right="0" w:rightChars="0" w:firstLine="560"/>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color w:val="000000"/>
          <w:kern w:val="0"/>
          <w:sz w:val="28"/>
          <w:szCs w:val="28"/>
        </w:rPr>
        <w:t>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年，共主动公开本年度政府信息</w:t>
      </w:r>
      <w:r>
        <w:rPr>
          <w:rFonts w:hint="eastAsia" w:ascii="仿宋" w:hAnsi="仿宋" w:eastAsia="仿宋" w:cs="仿宋"/>
          <w:color w:val="000000"/>
          <w:kern w:val="0"/>
          <w:sz w:val="28"/>
          <w:szCs w:val="28"/>
          <w:lang w:val="en-US" w:eastAsia="zh-CN"/>
        </w:rPr>
        <w:t>77</w:t>
      </w:r>
      <w:r>
        <w:rPr>
          <w:rFonts w:hint="eastAsia" w:ascii="仿宋" w:hAnsi="仿宋" w:eastAsia="仿宋" w:cs="仿宋"/>
          <w:color w:val="000000"/>
          <w:kern w:val="0"/>
          <w:sz w:val="28"/>
          <w:szCs w:val="28"/>
        </w:rPr>
        <w:t>条，全文电子化率达100%。涉及</w:t>
      </w:r>
      <w:r>
        <w:rPr>
          <w:rFonts w:hint="eastAsia" w:ascii="仿宋" w:hAnsi="仿宋" w:eastAsia="仿宋" w:cs="仿宋"/>
          <w:color w:val="000000"/>
          <w:kern w:val="0"/>
          <w:sz w:val="28"/>
          <w:szCs w:val="28"/>
          <w:lang w:eastAsia="zh-CN"/>
        </w:rPr>
        <w:t>重点公开领域</w:t>
      </w:r>
      <w:r>
        <w:rPr>
          <w:rFonts w:hint="eastAsia" w:ascii="仿宋" w:hAnsi="仿宋" w:eastAsia="仿宋" w:cs="仿宋"/>
          <w:color w:val="000000"/>
          <w:kern w:val="0"/>
          <w:sz w:val="28"/>
          <w:szCs w:val="28"/>
          <w:lang w:val="en-US" w:eastAsia="zh-CN"/>
        </w:rPr>
        <w:t>2条，</w:t>
      </w:r>
      <w:r>
        <w:rPr>
          <w:rFonts w:hint="eastAsia" w:ascii="仿宋" w:hAnsi="仿宋" w:eastAsia="仿宋" w:cs="仿宋"/>
          <w:color w:val="000000"/>
          <w:kern w:val="0"/>
          <w:sz w:val="28"/>
          <w:szCs w:val="28"/>
        </w:rPr>
        <w:t>通知公告</w:t>
      </w: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条，行政审批办结公告</w:t>
      </w:r>
      <w:r>
        <w:rPr>
          <w:rFonts w:hint="eastAsia" w:ascii="仿宋" w:hAnsi="仿宋" w:eastAsia="仿宋" w:cs="仿宋"/>
          <w:color w:val="000000"/>
          <w:kern w:val="0"/>
          <w:sz w:val="28"/>
          <w:szCs w:val="28"/>
          <w:lang w:val="en-US" w:eastAsia="zh-CN"/>
        </w:rPr>
        <w:t>36</w:t>
      </w:r>
      <w:r>
        <w:rPr>
          <w:rFonts w:hint="eastAsia" w:ascii="仿宋" w:hAnsi="仿宋" w:eastAsia="仿宋" w:cs="仿宋"/>
          <w:color w:val="000000"/>
          <w:kern w:val="0"/>
          <w:sz w:val="28"/>
          <w:szCs w:val="28"/>
        </w:rPr>
        <w:t>条，人事信息</w:t>
      </w: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条，组织机构</w:t>
      </w:r>
      <w:r>
        <w:rPr>
          <w:rFonts w:hint="eastAsia" w:ascii="仿宋" w:hAnsi="仿宋" w:eastAsia="仿宋" w:cs="仿宋"/>
          <w:color w:val="000000"/>
          <w:kern w:val="0"/>
          <w:sz w:val="28"/>
          <w:szCs w:val="28"/>
          <w:lang w:val="en-US" w:eastAsia="zh-CN"/>
        </w:rPr>
        <w:t>13</w:t>
      </w:r>
      <w:r>
        <w:rPr>
          <w:rFonts w:hint="eastAsia" w:ascii="仿宋" w:hAnsi="仿宋" w:eastAsia="仿宋" w:cs="仿宋"/>
          <w:color w:val="000000"/>
          <w:kern w:val="0"/>
          <w:sz w:val="28"/>
          <w:szCs w:val="28"/>
        </w:rPr>
        <w:t>条，政策文件3</w:t>
      </w:r>
      <w:r>
        <w:rPr>
          <w:rFonts w:hint="eastAsia" w:ascii="仿宋" w:hAnsi="仿宋" w:eastAsia="仿宋" w:cs="仿宋"/>
          <w:color w:val="000000"/>
          <w:kern w:val="0"/>
          <w:sz w:val="28"/>
          <w:szCs w:val="28"/>
          <w:lang w:eastAsia="zh-CN"/>
        </w:rPr>
        <w:t>条</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建议提案</w:t>
      </w:r>
      <w:r>
        <w:rPr>
          <w:rFonts w:hint="eastAsia" w:ascii="仿宋" w:hAnsi="仿宋" w:eastAsia="仿宋" w:cs="仿宋"/>
          <w:color w:val="000000"/>
          <w:kern w:val="0"/>
          <w:sz w:val="28"/>
          <w:szCs w:val="28"/>
          <w:lang w:val="en-US" w:eastAsia="zh-CN"/>
        </w:rPr>
        <w:t>2条，</w:t>
      </w:r>
      <w:r>
        <w:rPr>
          <w:rFonts w:hint="eastAsia" w:ascii="仿宋" w:hAnsi="仿宋" w:eastAsia="仿宋" w:cs="仿宋"/>
          <w:color w:val="000000"/>
          <w:kern w:val="0"/>
          <w:sz w:val="28"/>
          <w:szCs w:val="28"/>
        </w:rPr>
        <w:t>规划计划</w:t>
      </w:r>
      <w:r>
        <w:rPr>
          <w:rFonts w:hint="eastAsia" w:ascii="仿宋" w:hAnsi="仿宋" w:eastAsia="仿宋" w:cs="仿宋"/>
          <w:color w:val="000000"/>
          <w:kern w:val="0"/>
          <w:sz w:val="28"/>
          <w:szCs w:val="28"/>
          <w:lang w:val="en-US" w:eastAsia="zh-CN"/>
        </w:rPr>
        <w:t>5条</w:t>
      </w:r>
      <w:r>
        <w:rPr>
          <w:rFonts w:hint="eastAsia" w:ascii="仿宋" w:hAnsi="仿宋" w:eastAsia="仿宋" w:cs="仿宋"/>
          <w:color w:val="000000"/>
          <w:kern w:val="0"/>
          <w:sz w:val="28"/>
          <w:szCs w:val="28"/>
        </w:rPr>
        <w:t>，财政预决算</w:t>
      </w: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kern w:val="0"/>
          <w:sz w:val="28"/>
          <w:szCs w:val="28"/>
        </w:rPr>
        <w:t>条，“三公”经费</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条</w:t>
      </w:r>
      <w:r>
        <w:rPr>
          <w:rFonts w:hint="eastAsia" w:ascii="仿宋" w:hAnsi="仿宋" w:eastAsia="仿宋" w:cs="仿宋"/>
          <w:color w:val="000000"/>
          <w:kern w:val="0"/>
          <w:sz w:val="28"/>
          <w:szCs w:val="28"/>
          <w:lang w:eastAsia="zh-CN"/>
        </w:rPr>
        <w:t>。其他</w:t>
      </w:r>
      <w:r>
        <w:rPr>
          <w:rFonts w:hint="eastAsia" w:ascii="仿宋" w:hAnsi="仿宋" w:eastAsia="仿宋" w:cs="仿宋"/>
          <w:color w:val="000000"/>
          <w:kern w:val="0"/>
          <w:sz w:val="28"/>
          <w:szCs w:val="28"/>
          <w:lang w:val="en-US" w:eastAsia="zh-CN"/>
        </w:rPr>
        <w:t>途径公开</w:t>
      </w:r>
      <w:r>
        <w:rPr>
          <w:rFonts w:hint="eastAsia" w:ascii="仿宋" w:hAnsi="仿宋" w:eastAsia="仿宋" w:cs="仿宋"/>
          <w:color w:val="000000"/>
          <w:kern w:val="0"/>
          <w:sz w:val="28"/>
          <w:szCs w:val="28"/>
          <w:lang w:eastAsia="zh-CN"/>
        </w:rPr>
        <w:t>政务微信、微博1</w:t>
      </w:r>
      <w:r>
        <w:rPr>
          <w:rFonts w:hint="eastAsia" w:ascii="仿宋" w:hAnsi="仿宋" w:eastAsia="仿宋" w:cs="仿宋"/>
          <w:color w:val="000000"/>
          <w:kern w:val="0"/>
          <w:sz w:val="28"/>
          <w:szCs w:val="28"/>
          <w:lang w:val="en-US" w:eastAsia="zh-CN"/>
        </w:rPr>
        <w:t>32</w:t>
      </w:r>
      <w:r>
        <w:rPr>
          <w:rFonts w:hint="eastAsia" w:ascii="仿宋" w:hAnsi="仿宋" w:eastAsia="仿宋" w:cs="仿宋"/>
          <w:color w:val="000000"/>
          <w:kern w:val="0"/>
          <w:sz w:val="28"/>
          <w:szCs w:val="28"/>
          <w:lang w:eastAsia="zh-CN"/>
        </w:rPr>
        <w:t>条，海盐门户网</w:t>
      </w:r>
      <w:r>
        <w:rPr>
          <w:rFonts w:hint="eastAsia" w:ascii="仿宋" w:hAnsi="仿宋" w:eastAsia="仿宋" w:cs="仿宋"/>
          <w:color w:val="000000"/>
          <w:kern w:val="0"/>
          <w:sz w:val="28"/>
          <w:szCs w:val="28"/>
          <w:lang w:val="en-US" w:eastAsia="zh-CN"/>
        </w:rPr>
        <w:t>4</w:t>
      </w:r>
      <w:r>
        <w:rPr>
          <w:rFonts w:hint="eastAsia" w:ascii="仿宋" w:hAnsi="仿宋" w:eastAsia="仿宋" w:cs="仿宋"/>
          <w:color w:val="000000"/>
          <w:kern w:val="0"/>
          <w:sz w:val="28"/>
          <w:szCs w:val="28"/>
          <w:lang w:eastAsia="zh-CN"/>
        </w:rPr>
        <w:t>条，嘉兴日报</w:t>
      </w:r>
      <w:r>
        <w:rPr>
          <w:rFonts w:hint="eastAsia" w:ascii="仿宋" w:hAnsi="仿宋" w:eastAsia="仿宋" w:cs="仿宋"/>
          <w:color w:val="000000"/>
          <w:kern w:val="0"/>
          <w:sz w:val="28"/>
          <w:szCs w:val="28"/>
          <w:lang w:val="en-US" w:eastAsia="zh-CN"/>
        </w:rPr>
        <w:t>6</w:t>
      </w:r>
      <w:r>
        <w:rPr>
          <w:rFonts w:hint="eastAsia" w:ascii="仿宋" w:hAnsi="仿宋" w:eastAsia="仿宋" w:cs="仿宋"/>
          <w:color w:val="000000"/>
          <w:kern w:val="0"/>
          <w:sz w:val="28"/>
          <w:szCs w:val="28"/>
          <w:lang w:eastAsia="zh-CN"/>
        </w:rPr>
        <w:t>条，读嘉、嘉兴在线</w:t>
      </w:r>
      <w:r>
        <w:rPr>
          <w:rFonts w:hint="eastAsia" w:ascii="仿宋" w:hAnsi="仿宋" w:eastAsia="仿宋" w:cs="仿宋"/>
          <w:color w:val="000000"/>
          <w:kern w:val="0"/>
          <w:sz w:val="28"/>
          <w:szCs w:val="28"/>
          <w:lang w:val="en-US" w:eastAsia="zh-CN"/>
        </w:rPr>
        <w:t>19条</w:t>
      </w:r>
      <w:r>
        <w:rPr>
          <w:rFonts w:hint="eastAsia" w:ascii="仿宋" w:hAnsi="仿宋" w:eastAsia="仿宋" w:cs="仿宋"/>
          <w:color w:val="000000"/>
          <w:kern w:val="0"/>
          <w:sz w:val="28"/>
          <w:szCs w:val="28"/>
        </w:rPr>
        <w:t>。我局20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年公开行政处罚数量</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件，处理决定数量</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件</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公开其他对外管理服务事项</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lang w:eastAsia="zh-CN"/>
        </w:rPr>
        <w:t>项</w:t>
      </w:r>
      <w:r>
        <w:rPr>
          <w:rFonts w:hint="eastAsia" w:ascii="仿宋" w:hAnsi="仿宋" w:eastAsia="仿宋" w:cs="仿宋"/>
          <w:color w:val="000000"/>
          <w:kern w:val="0"/>
          <w:sz w:val="28"/>
          <w:szCs w:val="28"/>
        </w:rPr>
        <w:t>，处理决定数量5件。依申请公开政府信息0件。</w:t>
      </w:r>
      <w:r>
        <w:rPr>
          <w:rFonts w:hint="eastAsia" w:ascii="仿宋" w:hAnsi="仿宋" w:eastAsia="仿宋" w:cs="仿宋"/>
          <w:color w:val="000000"/>
          <w:kern w:val="0"/>
          <w:sz w:val="28"/>
          <w:szCs w:val="28"/>
          <w:lang w:eastAsia="zh-CN"/>
        </w:rPr>
        <w:t>同时，积极做好群众的来信来访工作，维护社会稳定。</w:t>
      </w:r>
      <w:r>
        <w:rPr>
          <w:rFonts w:hint="eastAsia" w:ascii="仿宋" w:hAnsi="仿宋" w:eastAsia="仿宋" w:cs="仿宋"/>
          <w:color w:val="000000"/>
          <w:kern w:val="0"/>
          <w:sz w:val="28"/>
          <w:szCs w:val="28"/>
          <w:lang w:val="en-US" w:eastAsia="zh-CN"/>
        </w:rPr>
        <w:t>2020年共办理县长热线8件、信访1件，共处理9件，全部按照要求进行办理，不断完善信访渠道，化解信访积案。</w:t>
      </w:r>
      <w:r>
        <w:rPr>
          <w:rFonts w:hint="eastAsia" w:ascii="仿宋" w:hAnsi="仿宋" w:eastAsia="仿宋" w:cs="仿宋"/>
          <w:color w:val="000000"/>
          <w:kern w:val="0"/>
          <w:sz w:val="28"/>
          <w:szCs w:val="28"/>
        </w:rPr>
        <w:t>做好水利招标投标领域信息公开工作，及时公开招标备案信息、招投标领域投诉意见违法失信行</w:t>
      </w:r>
      <w:r>
        <w:rPr>
          <w:rFonts w:hint="eastAsia" w:ascii="仿宋" w:hAnsi="仿宋" w:eastAsia="仿宋" w:cs="仿宋"/>
          <w:color w:val="000000"/>
          <w:kern w:val="0"/>
          <w:sz w:val="28"/>
          <w:szCs w:val="28"/>
          <w:lang w:eastAsia="zh-CN"/>
        </w:rPr>
        <w:t>为</w:t>
      </w:r>
      <w:r>
        <w:rPr>
          <w:rFonts w:hint="eastAsia" w:ascii="仿宋" w:hAnsi="仿宋" w:eastAsia="仿宋" w:cs="仿宋"/>
          <w:color w:val="000000"/>
          <w:kern w:val="0"/>
          <w:sz w:val="28"/>
          <w:szCs w:val="28"/>
        </w:rPr>
        <w:t>。</w:t>
      </w:r>
      <w:r>
        <w:rPr>
          <w:rFonts w:hint="eastAsia" w:ascii="仿宋" w:hAnsi="仿宋" w:eastAsia="仿宋" w:cs="仿宋"/>
          <w:b/>
          <w:bCs/>
          <w:color w:val="000000"/>
          <w:kern w:val="0"/>
          <w:sz w:val="28"/>
          <w:szCs w:val="28"/>
          <w:lang w:eastAsia="zh-CN"/>
        </w:rPr>
        <w:t>一是</w:t>
      </w:r>
      <w:r>
        <w:rPr>
          <w:rFonts w:hint="eastAsia" w:ascii="仿宋" w:hAnsi="仿宋" w:eastAsia="仿宋" w:cs="仿宋"/>
          <w:b/>
          <w:bCs/>
          <w:color w:val="000000"/>
          <w:kern w:val="0"/>
          <w:sz w:val="28"/>
          <w:szCs w:val="28"/>
        </w:rPr>
        <w:t>加强组织</w:t>
      </w:r>
      <w:r>
        <w:rPr>
          <w:rFonts w:hint="eastAsia" w:ascii="仿宋" w:hAnsi="仿宋" w:eastAsia="仿宋" w:cs="仿宋"/>
          <w:b/>
          <w:bCs/>
          <w:color w:val="000000"/>
          <w:kern w:val="0"/>
          <w:sz w:val="28"/>
          <w:szCs w:val="28"/>
          <w:lang w:eastAsia="zh-CN"/>
        </w:rPr>
        <w:t>保障力度。</w:t>
      </w:r>
      <w:r>
        <w:rPr>
          <w:rFonts w:hint="eastAsia" w:ascii="仿宋" w:hAnsi="仿宋" w:eastAsia="仿宋" w:cs="仿宋"/>
          <w:color w:val="000000"/>
          <w:kern w:val="0"/>
          <w:sz w:val="28"/>
          <w:szCs w:val="28"/>
          <w:lang w:eastAsia="zh-CN"/>
        </w:rPr>
        <w:t>按照文件要求，我局明确了由</w:t>
      </w:r>
      <w:r>
        <w:rPr>
          <w:rFonts w:hint="eastAsia" w:ascii="仿宋" w:hAnsi="仿宋" w:eastAsia="仿宋" w:cs="仿宋"/>
          <w:color w:val="000000"/>
          <w:kern w:val="0"/>
          <w:sz w:val="28"/>
          <w:szCs w:val="28"/>
        </w:rPr>
        <w:t>局长任组长，</w:t>
      </w:r>
      <w:r>
        <w:rPr>
          <w:rFonts w:hint="eastAsia" w:ascii="仿宋" w:hAnsi="仿宋" w:eastAsia="仿宋" w:cs="仿宋"/>
          <w:color w:val="000000"/>
          <w:kern w:val="0"/>
          <w:sz w:val="28"/>
          <w:szCs w:val="28"/>
          <w:lang w:eastAsia="zh-CN"/>
        </w:rPr>
        <w:t>分管领导为</w:t>
      </w:r>
      <w:r>
        <w:rPr>
          <w:rFonts w:hint="eastAsia" w:ascii="仿宋" w:hAnsi="仿宋" w:eastAsia="仿宋" w:cs="仿宋"/>
          <w:color w:val="000000"/>
          <w:kern w:val="0"/>
          <w:sz w:val="28"/>
          <w:szCs w:val="28"/>
        </w:rPr>
        <w:t>副组长，</w:t>
      </w:r>
      <w:r>
        <w:rPr>
          <w:rFonts w:hint="eastAsia" w:ascii="仿宋" w:hAnsi="仿宋" w:eastAsia="仿宋" w:cs="仿宋"/>
          <w:color w:val="000000"/>
          <w:kern w:val="0"/>
          <w:sz w:val="28"/>
          <w:szCs w:val="28"/>
          <w:lang w:eastAsia="zh-CN"/>
        </w:rPr>
        <w:t>有</w:t>
      </w:r>
      <w:r>
        <w:rPr>
          <w:rFonts w:hint="eastAsia" w:ascii="仿宋" w:hAnsi="仿宋" w:eastAsia="仿宋" w:cs="仿宋"/>
          <w:color w:val="000000"/>
          <w:kern w:val="0"/>
          <w:sz w:val="28"/>
          <w:szCs w:val="28"/>
        </w:rPr>
        <w:t>关科室负责人为成员</w:t>
      </w:r>
      <w:r>
        <w:rPr>
          <w:rFonts w:hint="eastAsia" w:ascii="仿宋" w:hAnsi="仿宋" w:eastAsia="仿宋" w:cs="仿宋"/>
          <w:color w:val="000000"/>
          <w:kern w:val="0"/>
          <w:sz w:val="28"/>
          <w:szCs w:val="28"/>
          <w:lang w:eastAsia="zh-CN"/>
        </w:rPr>
        <w:t>的</w:t>
      </w:r>
      <w:r>
        <w:rPr>
          <w:rFonts w:hint="eastAsia" w:ascii="仿宋" w:hAnsi="仿宋" w:eastAsia="仿宋" w:cs="仿宋"/>
          <w:color w:val="000000"/>
          <w:kern w:val="0"/>
          <w:sz w:val="28"/>
          <w:szCs w:val="28"/>
        </w:rPr>
        <w:t>信息公开工作领导小组，</w:t>
      </w:r>
      <w:r>
        <w:rPr>
          <w:rFonts w:hint="eastAsia" w:ascii="仿宋" w:hAnsi="仿宋" w:eastAsia="仿宋" w:cs="仿宋"/>
          <w:color w:val="000000"/>
          <w:kern w:val="0"/>
          <w:sz w:val="28"/>
          <w:szCs w:val="28"/>
          <w:lang w:eastAsia="zh-CN"/>
        </w:rPr>
        <w:t>并选派办公室精干人员专门负责相关事项。明确</w:t>
      </w:r>
      <w:r>
        <w:rPr>
          <w:rFonts w:hint="eastAsia" w:ascii="仿宋" w:hAnsi="仿宋" w:eastAsia="仿宋" w:cs="仿宋"/>
          <w:color w:val="000000"/>
          <w:kern w:val="0"/>
          <w:sz w:val="28"/>
          <w:szCs w:val="28"/>
        </w:rPr>
        <w:t>办公室</w:t>
      </w:r>
      <w:r>
        <w:rPr>
          <w:rFonts w:hint="eastAsia" w:ascii="仿宋" w:hAnsi="仿宋" w:eastAsia="仿宋" w:cs="仿宋"/>
          <w:color w:val="000000"/>
          <w:kern w:val="0"/>
          <w:sz w:val="28"/>
          <w:szCs w:val="28"/>
          <w:lang w:eastAsia="zh-CN"/>
        </w:rPr>
        <w:t>作为全局政府信息公开工作的责任科室</w:t>
      </w:r>
      <w:r>
        <w:rPr>
          <w:rFonts w:hint="eastAsia" w:ascii="仿宋" w:hAnsi="仿宋" w:eastAsia="仿宋" w:cs="仿宋"/>
          <w:color w:val="000000"/>
          <w:kern w:val="0"/>
          <w:sz w:val="28"/>
          <w:szCs w:val="28"/>
        </w:rPr>
        <w:t>，负责政府信息公开组织协调、综合管理工作。</w:t>
      </w:r>
      <w:r>
        <w:rPr>
          <w:rFonts w:hint="eastAsia" w:ascii="仿宋" w:hAnsi="仿宋" w:eastAsia="仿宋" w:cs="仿宋"/>
          <w:color w:val="000000"/>
          <w:kern w:val="0"/>
          <w:sz w:val="28"/>
          <w:szCs w:val="28"/>
          <w:lang w:eastAsia="zh-CN"/>
        </w:rPr>
        <w:t>同时</w:t>
      </w:r>
      <w:r>
        <w:rPr>
          <w:rFonts w:hint="eastAsia" w:ascii="仿宋" w:hAnsi="仿宋" w:eastAsia="仿宋" w:cs="仿宋"/>
          <w:color w:val="000000"/>
          <w:kern w:val="0"/>
          <w:sz w:val="28"/>
          <w:szCs w:val="28"/>
        </w:rPr>
        <w:t>成立局政府信息公开保密审核领导小组</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对所有公开信息进行严格审核，防止发生泄密事件</w:t>
      </w:r>
      <w:r>
        <w:rPr>
          <w:rFonts w:hint="eastAsia" w:ascii="仿宋" w:hAnsi="仿宋" w:eastAsia="仿宋" w:cs="仿宋"/>
          <w:color w:val="000000"/>
          <w:kern w:val="0"/>
          <w:sz w:val="28"/>
          <w:szCs w:val="28"/>
          <w:lang w:eastAsia="zh-CN"/>
        </w:rPr>
        <w:t>。</w:t>
      </w:r>
      <w:r>
        <w:rPr>
          <w:rFonts w:hint="eastAsia" w:ascii="仿宋" w:hAnsi="仿宋" w:eastAsia="仿宋" w:cs="仿宋"/>
          <w:b/>
          <w:bCs/>
          <w:color w:val="000000"/>
          <w:kern w:val="0"/>
          <w:sz w:val="28"/>
          <w:szCs w:val="28"/>
          <w:lang w:eastAsia="zh-CN"/>
        </w:rPr>
        <w:t>二是遵守</w:t>
      </w:r>
      <w:r>
        <w:rPr>
          <w:rFonts w:hint="eastAsia" w:ascii="仿宋" w:hAnsi="仿宋" w:eastAsia="仿宋" w:cs="仿宋"/>
          <w:b/>
          <w:bCs/>
          <w:color w:val="000000"/>
          <w:kern w:val="0"/>
          <w:sz w:val="28"/>
          <w:szCs w:val="28"/>
        </w:rPr>
        <w:t>工作流程</w:t>
      </w:r>
      <w:r>
        <w:rPr>
          <w:rFonts w:hint="eastAsia" w:ascii="仿宋" w:hAnsi="仿宋" w:eastAsia="仿宋" w:cs="仿宋"/>
          <w:b/>
          <w:bCs/>
          <w:color w:val="000000"/>
          <w:kern w:val="0"/>
          <w:sz w:val="28"/>
          <w:szCs w:val="28"/>
          <w:lang w:eastAsia="zh-CN"/>
        </w:rPr>
        <w:t>。</w:t>
      </w:r>
      <w:r>
        <w:rPr>
          <w:rFonts w:hint="eastAsia" w:ascii="仿宋" w:hAnsi="仿宋" w:eastAsia="仿宋" w:cs="仿宋"/>
          <w:color w:val="000000"/>
          <w:kern w:val="0"/>
          <w:sz w:val="28"/>
          <w:szCs w:val="28"/>
        </w:rPr>
        <w:t>根据《条例》及相关规章制度，我局细化各科室信息公开责任分解，加强内部专业协调，明确信息公开范围，完善信息公开程序。严格政务公开程序，公开内容按照科室提供，科室负责人确认，领导审核，专人操作流程，确保公开信息真实、准确、安全。</w:t>
      </w:r>
      <w:r>
        <w:rPr>
          <w:rFonts w:hint="eastAsia" w:ascii="仿宋" w:hAnsi="仿宋" w:eastAsia="仿宋" w:cs="仿宋"/>
          <w:b/>
          <w:bCs/>
          <w:color w:val="000000"/>
          <w:kern w:val="0"/>
          <w:sz w:val="28"/>
          <w:szCs w:val="28"/>
          <w:lang w:eastAsia="zh-CN"/>
        </w:rPr>
        <w:t>三是</w:t>
      </w:r>
      <w:r>
        <w:rPr>
          <w:rFonts w:hint="eastAsia" w:ascii="仿宋" w:hAnsi="仿宋" w:eastAsia="仿宋" w:cs="仿宋"/>
          <w:b/>
          <w:bCs/>
          <w:color w:val="000000"/>
          <w:kern w:val="0"/>
          <w:sz w:val="28"/>
          <w:szCs w:val="28"/>
        </w:rPr>
        <w:t>健全</w:t>
      </w:r>
      <w:r>
        <w:rPr>
          <w:rFonts w:hint="eastAsia" w:ascii="仿宋" w:hAnsi="仿宋" w:eastAsia="仿宋" w:cs="仿宋"/>
          <w:b/>
          <w:bCs/>
          <w:color w:val="000000"/>
          <w:kern w:val="0"/>
          <w:sz w:val="28"/>
          <w:szCs w:val="28"/>
          <w:lang w:eastAsia="zh-CN"/>
        </w:rPr>
        <w:t>工作机制。</w:t>
      </w:r>
      <w:r>
        <w:rPr>
          <w:rFonts w:hint="eastAsia" w:ascii="仿宋" w:hAnsi="仿宋" w:eastAsia="仿宋" w:cs="仿宋"/>
          <w:color w:val="000000"/>
          <w:kern w:val="0"/>
          <w:sz w:val="28"/>
          <w:szCs w:val="28"/>
          <w:lang w:eastAsia="zh-CN"/>
        </w:rPr>
        <w:t>政府信息公开工作形成年初召开会议落实部署、中期实施检查、年终进行考核的工作机制。同时加强政府信息公开业务学习，确保政府信息公开准确、及时、规范，不断提升政府信息公开整体工作水平</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确保广大群众对我局工作的知情权、参与权和监督权。</w:t>
      </w:r>
      <w:r>
        <w:rPr>
          <w:rFonts w:hint="eastAsia" w:ascii="仿宋" w:hAnsi="仿宋" w:eastAsia="仿宋" w:cs="仿宋"/>
          <w:b/>
          <w:bCs/>
          <w:color w:val="000000"/>
          <w:kern w:val="0"/>
          <w:sz w:val="28"/>
          <w:szCs w:val="28"/>
          <w:lang w:eastAsia="zh-CN"/>
        </w:rPr>
        <w:t>四是</w:t>
      </w:r>
      <w:r>
        <w:rPr>
          <w:rFonts w:hint="eastAsia" w:ascii="仿宋" w:hAnsi="仿宋" w:eastAsia="仿宋" w:cs="仿宋"/>
          <w:b/>
          <w:bCs/>
          <w:color w:val="000000"/>
          <w:kern w:val="0"/>
          <w:sz w:val="28"/>
          <w:szCs w:val="28"/>
        </w:rPr>
        <w:t>强化信息公开</w:t>
      </w:r>
      <w:r>
        <w:rPr>
          <w:rFonts w:hint="eastAsia" w:ascii="仿宋" w:hAnsi="仿宋" w:eastAsia="仿宋" w:cs="仿宋"/>
          <w:b/>
          <w:bCs/>
          <w:color w:val="000000"/>
          <w:kern w:val="0"/>
          <w:sz w:val="28"/>
          <w:szCs w:val="28"/>
          <w:lang w:eastAsia="zh-CN"/>
        </w:rPr>
        <w:t>。</w:t>
      </w:r>
      <w:r>
        <w:rPr>
          <w:rFonts w:hint="eastAsia" w:ascii="仿宋" w:hAnsi="仿宋" w:eastAsia="仿宋" w:cs="仿宋"/>
          <w:color w:val="000000"/>
          <w:kern w:val="0"/>
          <w:sz w:val="28"/>
          <w:szCs w:val="28"/>
        </w:rPr>
        <w:t>根据《海盐县20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年政务公开重点工作责任分解</w:t>
      </w:r>
      <w:r>
        <w:rPr>
          <w:rFonts w:hint="eastAsia" w:ascii="仿宋" w:hAnsi="仿宋" w:eastAsia="仿宋" w:cs="仿宋"/>
          <w:color w:val="000000"/>
          <w:kern w:val="0"/>
          <w:sz w:val="28"/>
          <w:szCs w:val="28"/>
          <w:lang w:eastAsia="zh-CN"/>
        </w:rPr>
        <w:t>的通知</w:t>
      </w:r>
      <w:r>
        <w:rPr>
          <w:rFonts w:hint="eastAsia" w:ascii="仿宋" w:hAnsi="仿宋" w:eastAsia="仿宋" w:cs="仿宋"/>
          <w:color w:val="000000"/>
          <w:kern w:val="0"/>
          <w:sz w:val="28"/>
          <w:szCs w:val="28"/>
        </w:rPr>
        <w:t>》《海盐县20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年政务公开工作</w:t>
      </w:r>
      <w:r>
        <w:rPr>
          <w:rFonts w:hint="eastAsia" w:ascii="仿宋" w:hAnsi="仿宋" w:eastAsia="仿宋" w:cs="仿宋"/>
          <w:color w:val="000000"/>
          <w:kern w:val="0"/>
          <w:sz w:val="28"/>
          <w:szCs w:val="28"/>
          <w:lang w:eastAsia="zh-CN"/>
        </w:rPr>
        <w:t>要点重点任务分工方案的补充通知</w:t>
      </w:r>
      <w:r>
        <w:rPr>
          <w:rFonts w:hint="eastAsia" w:ascii="仿宋" w:hAnsi="仿宋" w:eastAsia="仿宋" w:cs="仿宋"/>
          <w:color w:val="000000"/>
          <w:kern w:val="0"/>
          <w:sz w:val="28"/>
          <w:szCs w:val="28"/>
        </w:rPr>
        <w:t>》要求，县</w:t>
      </w:r>
      <w:r>
        <w:rPr>
          <w:rFonts w:hint="eastAsia" w:ascii="仿宋" w:hAnsi="仿宋" w:eastAsia="仿宋" w:cs="仿宋"/>
          <w:color w:val="000000"/>
          <w:kern w:val="0"/>
          <w:sz w:val="28"/>
          <w:szCs w:val="28"/>
          <w:lang w:eastAsia="zh-CN"/>
        </w:rPr>
        <w:t>水利局</w:t>
      </w:r>
      <w:r>
        <w:rPr>
          <w:rFonts w:hint="eastAsia" w:ascii="仿宋" w:hAnsi="仿宋" w:eastAsia="仿宋" w:cs="仿宋"/>
          <w:color w:val="000000"/>
          <w:kern w:val="0"/>
          <w:sz w:val="28"/>
          <w:szCs w:val="28"/>
        </w:rPr>
        <w:t>积极推进重点领域信息公开</w:t>
      </w:r>
      <w:r>
        <w:rPr>
          <w:rFonts w:hint="eastAsia" w:ascii="仿宋" w:hAnsi="仿宋" w:eastAsia="仿宋" w:cs="仿宋"/>
          <w:color w:val="000000"/>
          <w:kern w:val="0"/>
          <w:sz w:val="28"/>
          <w:szCs w:val="28"/>
          <w:lang w:eastAsia="zh-CN"/>
        </w:rPr>
        <w:t>。</w:t>
      </w:r>
      <w:r>
        <w:rPr>
          <w:rFonts w:hint="eastAsia" w:ascii="仿宋" w:hAnsi="仿宋" w:eastAsia="仿宋" w:cs="仿宋"/>
          <w:b w:val="0"/>
          <w:bCs w:val="0"/>
          <w:color w:val="000000"/>
          <w:kern w:val="0"/>
          <w:sz w:val="28"/>
          <w:szCs w:val="28"/>
          <w:lang w:val="en-US" w:eastAsia="zh-CN"/>
        </w:rPr>
        <w:t>一是公开局务的重要决策事项。关于明确2020年度省水利建设与发展专项资金分配的通知等。二是全面公开行政审批内容和权限。公开审批条件、程序、时限和标准，使行政审批行为公开透明，其中占用水域公告、取水许可审批公告均在接收申请材料受理后当日公示，行政许可办结公告、区域涉水审批承诺备案结果以及水土保持验收报备结果均在事项办结后20个工作日内公告。三是及时将与群众利益密切相关的事项，主动、有效地向社会公开。如2020年海盐县长江经济带涉水生态环境问题整改销号情况公示。</w:t>
      </w:r>
    </w:p>
    <w:p>
      <w:pPr>
        <w:keepNext w:val="0"/>
        <w:keepLines w:val="0"/>
        <w:pageBreakBefore w:val="0"/>
        <w:widowControl/>
        <w:kinsoku/>
        <w:wordWrap/>
        <w:overflowPunct/>
        <w:topLinePunct w:val="0"/>
        <w:autoSpaceDE/>
        <w:autoSpaceDN/>
        <w:bidi w:val="0"/>
        <w:adjustRightInd/>
        <w:snapToGrid/>
        <w:spacing w:line="540" w:lineRule="exact"/>
        <w:ind w:right="0" w:rightChars="0" w:firstLine="560"/>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color w:val="000000"/>
          <w:kern w:val="0"/>
          <w:sz w:val="28"/>
          <w:szCs w:val="28"/>
          <w:lang w:val="en-US" w:eastAsia="zh-CN"/>
        </w:rPr>
        <w:t>（一）主动公开情况。</w:t>
      </w:r>
      <w:r>
        <w:rPr>
          <w:rFonts w:hint="eastAsia" w:ascii="仿宋" w:hAnsi="仿宋" w:eastAsia="仿宋" w:cs="仿宋"/>
          <w:b w:val="0"/>
          <w:bCs w:val="0"/>
          <w:color w:val="000000"/>
          <w:kern w:val="0"/>
          <w:sz w:val="28"/>
          <w:szCs w:val="28"/>
          <w:lang w:val="en-US" w:eastAsia="zh-CN"/>
        </w:rPr>
        <w:t>认真做好财政预决算、三公经费等信息公开，2020年度发布办结公告36条，切实做好行政执法“双随机、一公开”，公开行政处罚2件，检查内容和结果均通过浙江政务服务网向社会公示。进一步做好人大代表建议和政协委员提案办理结果公开工作，2020年发布结果信息2条。积极推进重点领域政府信息公开工作,做好</w:t>
      </w:r>
      <w:bookmarkStart w:id="0" w:name="_GoBack"/>
      <w:r>
        <w:rPr>
          <w:rFonts w:hint="eastAsia" w:ascii="仿宋" w:hAnsi="仿宋" w:eastAsia="仿宋" w:cs="仿宋"/>
          <w:b w:val="0"/>
          <w:bCs w:val="0"/>
          <w:color w:val="000000"/>
          <w:kern w:val="0"/>
          <w:sz w:val="28"/>
          <w:szCs w:val="28"/>
          <w:lang w:val="en-US" w:eastAsia="zh-CN"/>
        </w:rPr>
        <w:t>水利工程建设项目招标投标领域</w:t>
      </w:r>
      <w:bookmarkEnd w:id="0"/>
      <w:r>
        <w:rPr>
          <w:rFonts w:hint="eastAsia" w:ascii="仿宋" w:hAnsi="仿宋" w:eastAsia="仿宋" w:cs="仿宋"/>
          <w:b w:val="0"/>
          <w:bCs w:val="0"/>
          <w:color w:val="000000"/>
          <w:kern w:val="0"/>
          <w:sz w:val="28"/>
          <w:szCs w:val="28"/>
          <w:lang w:val="en-US" w:eastAsia="zh-CN"/>
        </w:rPr>
        <w:t>信息公开，主要公开水利招标投标领域备案信息、投诉处理意见、违法失信行为记录等。格遵守招投标法律法规，做好水利招投标行业监督工作，未受到相关投诉，未发现违法失信行为。</w:t>
      </w:r>
    </w:p>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color w:val="000000"/>
          <w:kern w:val="0"/>
          <w:sz w:val="28"/>
          <w:szCs w:val="28"/>
          <w:lang w:val="en-US" w:eastAsia="zh-CN"/>
        </w:rPr>
        <w:t xml:space="preserve">    （二）依申请公开情况。</w:t>
      </w:r>
      <w:r>
        <w:rPr>
          <w:rFonts w:hint="eastAsia" w:ascii="仿宋" w:hAnsi="仿宋" w:eastAsia="仿宋" w:cs="仿宋"/>
          <w:b w:val="0"/>
          <w:bCs w:val="0"/>
          <w:color w:val="000000"/>
          <w:kern w:val="0"/>
          <w:sz w:val="28"/>
          <w:szCs w:val="28"/>
          <w:lang w:val="en-US" w:eastAsia="zh-CN"/>
        </w:rPr>
        <w:t>2020年，我局未收到依申请公开政府信息的申请件，未发生涉及政府信息公开的行政复议、行政诉讼案件，未收到涉及政府信息公开的投诉件。</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color w:val="000000"/>
          <w:kern w:val="0"/>
          <w:sz w:val="28"/>
          <w:szCs w:val="28"/>
          <w:lang w:val="en-US" w:eastAsia="zh-CN"/>
        </w:rPr>
        <w:t>（三）政府信息管理情况。</w:t>
      </w:r>
      <w:r>
        <w:rPr>
          <w:rFonts w:hint="eastAsia" w:ascii="仿宋" w:hAnsi="仿宋" w:eastAsia="仿宋" w:cs="仿宋"/>
          <w:b w:val="0"/>
          <w:bCs w:val="0"/>
          <w:color w:val="000000"/>
          <w:kern w:val="0"/>
          <w:sz w:val="28"/>
          <w:szCs w:val="28"/>
          <w:lang w:val="en-US" w:eastAsia="zh-CN"/>
        </w:rPr>
        <w:t>规范性文件方面。2020年，我局未发布规范性文件。信息公开审查方面。严格执行信息公开审查制度，进一步规范政府信息发布工作，保证所发布的政府信息合法、准确。</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color w:val="000000"/>
          <w:kern w:val="0"/>
          <w:sz w:val="28"/>
          <w:szCs w:val="28"/>
          <w:lang w:val="en-US" w:eastAsia="zh-CN"/>
        </w:rPr>
        <w:t>（四）平台建设情况。</w:t>
      </w:r>
      <w:r>
        <w:rPr>
          <w:rFonts w:hint="eastAsia" w:ascii="仿宋" w:hAnsi="仿宋" w:eastAsia="仿宋" w:cs="仿宋"/>
          <w:b w:val="0"/>
          <w:bCs w:val="0"/>
          <w:color w:val="000000"/>
          <w:kern w:val="0"/>
          <w:sz w:val="28"/>
          <w:szCs w:val="28"/>
          <w:lang w:val="en-US" w:eastAsia="zh-CN"/>
        </w:rPr>
        <w:t>及时在政务网站上更新机构信息、政策文件、规划计划、工作信息等栏目，不断丰富公开渠道，为方便公众了解信息，海盐水利微信公众号设立水利动态、防汛抗旱、行政审批三个大栏目，行政审批栏目链接浙江政务服务网，并接受搜索和下载。</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b w:val="0"/>
          <w:bCs w:val="0"/>
          <w:color w:val="000000"/>
          <w:kern w:val="0"/>
          <w:sz w:val="28"/>
          <w:szCs w:val="28"/>
          <w:lang w:val="en-US" w:eastAsia="zh-CN"/>
        </w:rPr>
      </w:pPr>
      <w:r>
        <w:rPr>
          <w:rFonts w:hint="eastAsia" w:ascii="仿宋" w:hAnsi="仿宋" w:eastAsia="仿宋" w:cs="仿宋"/>
          <w:b/>
          <w:bCs/>
          <w:color w:val="000000"/>
          <w:kern w:val="0"/>
          <w:sz w:val="28"/>
          <w:szCs w:val="28"/>
          <w:lang w:val="en-US" w:eastAsia="zh-CN"/>
        </w:rPr>
        <w:t>（五）监督保障情况。</w:t>
      </w:r>
      <w:r>
        <w:rPr>
          <w:rFonts w:hint="eastAsia" w:ascii="仿宋" w:hAnsi="仿宋" w:eastAsia="仿宋" w:cs="仿宋"/>
          <w:b w:val="0"/>
          <w:bCs w:val="0"/>
          <w:color w:val="000000"/>
          <w:kern w:val="0"/>
          <w:sz w:val="28"/>
          <w:szCs w:val="28"/>
          <w:lang w:val="en-US" w:eastAsia="zh-CN"/>
        </w:rPr>
        <w:t>依据海盐县2020年政务公开工作重点工作责任分解，</w:t>
      </w:r>
      <w:r>
        <w:rPr>
          <w:rFonts w:hint="eastAsia" w:ascii="仿宋" w:hAnsi="仿宋" w:eastAsia="仿宋" w:cs="仿宋"/>
          <w:color w:val="000000"/>
          <w:kern w:val="0"/>
          <w:sz w:val="28"/>
          <w:szCs w:val="28"/>
          <w:lang w:eastAsia="zh-CN"/>
        </w:rPr>
        <w:t>进一步强化落实，健全和完善政府信息公开工作机制和监督保障机制，</w:t>
      </w:r>
      <w:r>
        <w:rPr>
          <w:rFonts w:hint="eastAsia" w:ascii="仿宋" w:hAnsi="仿宋" w:eastAsia="仿宋" w:cs="仿宋"/>
          <w:b w:val="0"/>
          <w:bCs w:val="0"/>
          <w:color w:val="000000"/>
          <w:kern w:val="0"/>
          <w:sz w:val="28"/>
          <w:szCs w:val="28"/>
          <w:lang w:val="en-US" w:eastAsia="zh-CN"/>
        </w:rPr>
        <w:t>建立政务公开常态化测评机制，办公室加强对相关科室的考核，交办整改清单，推动我局政务公开工作规范化、常态化。</w:t>
      </w:r>
    </w:p>
    <w:p>
      <w:pPr>
        <w:keepNext w:val="0"/>
        <w:keepLines w:val="0"/>
        <w:pageBreakBefore w:val="0"/>
        <w:widowControl/>
        <w:kinsoku/>
        <w:wordWrap/>
        <w:overflowPunct/>
        <w:topLinePunct w:val="0"/>
        <w:autoSpaceDE/>
        <w:autoSpaceDN/>
        <w:bidi w:val="0"/>
        <w:adjustRightInd/>
        <w:snapToGrid/>
        <w:spacing w:line="540" w:lineRule="exact"/>
        <w:ind w:right="0" w:rightChars="0"/>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第二十条第（一）项</w:t>
            </w:r>
          </w:p>
        </w:tc>
      </w:tr>
      <w:tr>
        <w:tblPrEx>
          <w:tblLayout w:type="fixed"/>
          <w:tblCellMar>
            <w:top w:w="0" w:type="dxa"/>
            <w:left w:w="0" w:type="dxa"/>
            <w:bottom w:w="0" w:type="dxa"/>
            <w:right w:w="0" w:type="dxa"/>
          </w:tblCellMar>
        </w:tblPrEx>
        <w:trPr>
          <w:trHeight w:val="148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本年新</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本年新</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行政许可</w:t>
            </w:r>
          </w:p>
        </w:tc>
        <w:tc>
          <w:tcPr>
            <w:tcW w:w="1881"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减</w:t>
            </w:r>
            <w:r>
              <w:rPr>
                <w:rFonts w:hint="eastAsia" w:ascii="仿宋" w:hAnsi="仿宋" w:eastAsia="仿宋" w:cs="仿宋"/>
                <w:color w:val="000000"/>
                <w:kern w:val="0"/>
                <w:sz w:val="28"/>
                <w:szCs w:val="28"/>
                <w:lang w:val="en-US" w:eastAsia="zh-CN"/>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228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其他对外管理服务事项</w:t>
            </w:r>
          </w:p>
        </w:tc>
        <w:tc>
          <w:tcPr>
            <w:tcW w:w="1881"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减</w:t>
            </w:r>
            <w:r>
              <w:rPr>
                <w:rFonts w:hint="eastAsia" w:ascii="仿宋" w:hAnsi="仿宋" w:eastAsia="仿宋" w:cs="仿宋"/>
                <w:color w:val="000000"/>
                <w:kern w:val="0"/>
                <w:sz w:val="28"/>
                <w:szCs w:val="28"/>
                <w:lang w:val="en-US" w:eastAsia="zh-CN"/>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5</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行政处罚</w:t>
            </w:r>
          </w:p>
        </w:tc>
        <w:tc>
          <w:tcPr>
            <w:tcW w:w="1881"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减1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行政强制</w:t>
            </w:r>
          </w:p>
        </w:tc>
        <w:tc>
          <w:tcPr>
            <w:tcW w:w="1881"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信息内容</w:t>
            </w:r>
          </w:p>
        </w:tc>
        <w:tc>
          <w:tcPr>
            <w:tcW w:w="1881"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上一年项目数量</w:t>
            </w:r>
          </w:p>
        </w:tc>
        <w:tc>
          <w:tcPr>
            <w:tcW w:w="3146" w:type="dxa"/>
            <w:gridSpan w:val="2"/>
            <w:tcBorders>
              <w:top w:val="single" w:color="auto" w:sz="4"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4</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减1</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20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2491699元</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三、收到和处理政府信息公开申请情况</w:t>
      </w:r>
    </w:p>
    <w:tbl>
      <w:tblPr>
        <w:tblStyle w:val="5"/>
        <w:tblW w:w="9071" w:type="dxa"/>
        <w:jc w:val="center"/>
        <w:tblInd w:w="0" w:type="dxa"/>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2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w:t>
            </w:r>
          </w:p>
        </w:tc>
        <w:tc>
          <w:tcPr>
            <w:tcW w:w="702"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三、本年度办理结果</w:t>
            </w:r>
          </w:p>
        </w:tc>
        <w:tc>
          <w:tcPr>
            <w:tcW w:w="2985"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985"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855"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985"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2985" w:type="dxa"/>
            <w:gridSpan w:val="2"/>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r>
              <w:rPr>
                <w:rFonts w:hint="eastAsia" w:ascii="仿宋" w:hAnsi="仿宋" w:eastAsia="仿宋" w:cs="仿宋"/>
                <w:color w:val="000000"/>
                <w:kern w:val="0"/>
                <w:sz w:val="28"/>
                <w:szCs w:val="28"/>
              </w:rPr>
              <w:t> </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四、政府信息公开行政复议、行政诉讼情况</w:t>
      </w: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60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65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outlineLvl w:val="9"/>
              <w:rPr>
                <w:rFonts w:hint="eastAsia" w:ascii="仿宋" w:hAnsi="仿宋" w:eastAsia="仿宋" w:cs="仿宋"/>
                <w:color w:val="000000"/>
                <w:kern w:val="0"/>
                <w:sz w:val="28"/>
                <w:szCs w:val="28"/>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总计</w:t>
            </w:r>
          </w:p>
        </w:tc>
      </w:tr>
      <w:tr>
        <w:tblPrEx>
          <w:tblLayout w:type="fixed"/>
          <w:tblCellMar>
            <w:top w:w="0" w:type="dxa"/>
            <w:left w:w="0" w:type="dxa"/>
            <w:bottom w:w="0" w:type="dxa"/>
            <w:right w:w="0" w:type="dxa"/>
          </w:tblCellMar>
        </w:tblPrEx>
        <w:trPr>
          <w:trHeight w:val="412"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40" w:lineRule="exact"/>
              <w:ind w:right="0" w:rightChars="0"/>
              <w:jc w:val="center"/>
              <w:textAlignment w:val="auto"/>
              <w:outlineLvl w:val="9"/>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0</w:t>
            </w:r>
          </w:p>
        </w:tc>
      </w:tr>
    </w:tbl>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五、存在的主要问题及改进情况</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eastAsia="zh-CN"/>
        </w:rPr>
        <w:t>（一）存</w:t>
      </w:r>
      <w:r>
        <w:rPr>
          <w:rFonts w:hint="eastAsia" w:ascii="仿宋" w:hAnsi="仿宋" w:eastAsia="仿宋" w:cs="仿宋"/>
          <w:b/>
          <w:bCs/>
          <w:color w:val="000000"/>
          <w:kern w:val="0"/>
          <w:sz w:val="28"/>
          <w:szCs w:val="28"/>
        </w:rPr>
        <w:t>在的主要问题</w:t>
      </w:r>
      <w:r>
        <w:rPr>
          <w:rFonts w:hint="eastAsia" w:ascii="仿宋" w:hAnsi="仿宋" w:eastAsia="仿宋" w:cs="仿宋"/>
          <w:b/>
          <w:bCs/>
          <w:color w:val="000000"/>
          <w:kern w:val="0"/>
          <w:sz w:val="28"/>
          <w:szCs w:val="28"/>
          <w:lang w:eastAsia="zh-CN"/>
        </w:rPr>
        <w:t>。</w:t>
      </w:r>
      <w:r>
        <w:rPr>
          <w:rFonts w:hint="eastAsia" w:ascii="仿宋" w:hAnsi="仿宋" w:eastAsia="仿宋" w:cs="仿宋"/>
          <w:color w:val="000000"/>
          <w:kern w:val="0"/>
          <w:sz w:val="28"/>
          <w:szCs w:val="28"/>
        </w:rPr>
        <w:t>20</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年，本局政府信息公开工作虽然取得一些成绩，但与上级要求相比还有一定差距，主要存在以下问题：一是政府信息公开</w:t>
      </w:r>
      <w:r>
        <w:rPr>
          <w:rFonts w:hint="eastAsia" w:ascii="仿宋" w:hAnsi="仿宋" w:eastAsia="仿宋" w:cs="仿宋"/>
          <w:color w:val="000000"/>
          <w:kern w:val="0"/>
          <w:sz w:val="28"/>
          <w:szCs w:val="28"/>
          <w:lang w:eastAsia="zh-CN"/>
        </w:rPr>
        <w:t>的有效性、针对性上有</w:t>
      </w:r>
      <w:r>
        <w:rPr>
          <w:rFonts w:hint="eastAsia" w:ascii="仿宋" w:hAnsi="仿宋" w:eastAsia="仿宋" w:cs="仿宋"/>
          <w:color w:val="000000"/>
          <w:kern w:val="0"/>
          <w:sz w:val="28"/>
          <w:szCs w:val="28"/>
        </w:rPr>
        <w:t>进一步</w:t>
      </w:r>
      <w:r>
        <w:rPr>
          <w:rFonts w:hint="eastAsia" w:ascii="仿宋" w:hAnsi="仿宋" w:eastAsia="仿宋" w:cs="仿宋"/>
          <w:color w:val="000000"/>
          <w:kern w:val="0"/>
          <w:sz w:val="28"/>
          <w:szCs w:val="28"/>
          <w:lang w:eastAsia="zh-CN"/>
        </w:rPr>
        <w:t>提高</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还要进一步加大工作力度。</w:t>
      </w:r>
      <w:r>
        <w:rPr>
          <w:rFonts w:hint="eastAsia" w:ascii="仿宋" w:hAnsi="仿宋" w:eastAsia="仿宋" w:cs="仿宋"/>
          <w:color w:val="000000"/>
          <w:kern w:val="0"/>
          <w:sz w:val="28"/>
          <w:szCs w:val="28"/>
        </w:rPr>
        <w:t>二是</w:t>
      </w:r>
      <w:r>
        <w:rPr>
          <w:rFonts w:hint="eastAsia" w:ascii="仿宋" w:hAnsi="仿宋" w:eastAsia="仿宋" w:cs="仿宋"/>
          <w:color w:val="000000"/>
          <w:kern w:val="0"/>
          <w:sz w:val="28"/>
          <w:szCs w:val="28"/>
          <w:lang w:eastAsia="zh-CN"/>
        </w:rPr>
        <w:t>涉及群众利益的政策解读力度还有待加强</w:t>
      </w:r>
      <w:r>
        <w:rPr>
          <w:rFonts w:hint="eastAsia" w:ascii="仿宋" w:hAnsi="仿宋" w:eastAsia="仿宋" w:cs="仿宋"/>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lang w:eastAsia="zh-CN"/>
        </w:rPr>
      </w:pPr>
      <w:r>
        <w:rPr>
          <w:rFonts w:hint="eastAsia" w:ascii="仿宋" w:hAnsi="仿宋" w:eastAsia="仿宋" w:cs="仿宋"/>
          <w:b/>
          <w:bCs/>
          <w:color w:val="000000"/>
          <w:kern w:val="0"/>
          <w:sz w:val="28"/>
          <w:szCs w:val="28"/>
          <w:lang w:eastAsia="zh-CN"/>
        </w:rPr>
        <w:t>（二）</w:t>
      </w:r>
      <w:r>
        <w:rPr>
          <w:rFonts w:hint="eastAsia" w:ascii="仿宋" w:hAnsi="仿宋" w:eastAsia="仿宋" w:cs="仿宋"/>
          <w:b/>
          <w:bCs/>
          <w:color w:val="000000"/>
          <w:kern w:val="0"/>
          <w:sz w:val="28"/>
          <w:szCs w:val="28"/>
          <w:lang w:val="en-US" w:eastAsia="zh-CN"/>
        </w:rPr>
        <w:t>2020年改进情况</w:t>
      </w:r>
      <w:r>
        <w:rPr>
          <w:rFonts w:hint="eastAsia" w:ascii="仿宋" w:hAnsi="仿宋" w:eastAsia="仿宋" w:cs="仿宋"/>
          <w:b/>
          <w:bCs/>
          <w:color w:val="000000"/>
          <w:kern w:val="0"/>
          <w:sz w:val="28"/>
          <w:szCs w:val="28"/>
          <w:lang w:eastAsia="zh-CN"/>
        </w:rPr>
        <w:t>。</w:t>
      </w:r>
      <w:r>
        <w:rPr>
          <w:rFonts w:hint="eastAsia" w:ascii="仿宋" w:hAnsi="仿宋" w:eastAsia="仿宋" w:cs="仿宋"/>
          <w:color w:val="000000"/>
          <w:kern w:val="0"/>
          <w:sz w:val="28"/>
          <w:szCs w:val="28"/>
        </w:rPr>
        <w:t>进一步推进</w:t>
      </w:r>
      <w:r>
        <w:rPr>
          <w:rFonts w:hint="eastAsia" w:ascii="仿宋" w:hAnsi="仿宋" w:eastAsia="仿宋" w:cs="仿宋"/>
          <w:color w:val="000000"/>
          <w:kern w:val="0"/>
          <w:sz w:val="28"/>
          <w:szCs w:val="28"/>
          <w:lang w:eastAsia="zh-CN"/>
        </w:rPr>
        <w:t>了行政权力公开规范透明运行，督促单位财务及时准确地公开本单位“三公经费”情况，强化权力运行办事结果的公开。进一步强化落实，健全和完善政府信息公开工作机制和监督保障机制，及时发布和更新各类政府信息，严格按照规定的内容、程序、形式和时限公开政府信息。</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lang w:eastAsia="zh-CN"/>
        </w:rPr>
        <w:t>（三）</w:t>
      </w:r>
      <w:r>
        <w:rPr>
          <w:rFonts w:hint="eastAsia" w:ascii="仿宋" w:hAnsi="仿宋" w:eastAsia="仿宋" w:cs="仿宋"/>
          <w:b/>
          <w:bCs/>
          <w:color w:val="000000"/>
          <w:kern w:val="0"/>
          <w:sz w:val="28"/>
          <w:szCs w:val="28"/>
          <w:lang w:val="en-US" w:eastAsia="zh-CN"/>
        </w:rPr>
        <w:t>2021年进一步改进情况</w:t>
      </w:r>
      <w:r>
        <w:rPr>
          <w:rFonts w:hint="eastAsia" w:ascii="仿宋" w:hAnsi="仿宋" w:eastAsia="仿宋" w:cs="仿宋"/>
          <w:b/>
          <w:bCs/>
          <w:color w:val="000000"/>
          <w:kern w:val="0"/>
          <w:sz w:val="28"/>
          <w:szCs w:val="28"/>
          <w:lang w:eastAsia="zh-CN"/>
        </w:rPr>
        <w:t>。</w:t>
      </w:r>
      <w:r>
        <w:rPr>
          <w:rFonts w:hint="eastAsia" w:ascii="仿宋" w:hAnsi="仿宋" w:eastAsia="仿宋" w:cs="仿宋"/>
          <w:color w:val="000000"/>
          <w:kern w:val="0"/>
          <w:sz w:val="28"/>
          <w:szCs w:val="28"/>
        </w:rPr>
        <w:t>202</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年，我局将进一步</w:t>
      </w:r>
      <w:r>
        <w:rPr>
          <w:rFonts w:hint="eastAsia" w:ascii="仿宋" w:hAnsi="仿宋" w:eastAsia="仿宋" w:cs="仿宋"/>
          <w:color w:val="000000"/>
          <w:kern w:val="0"/>
          <w:sz w:val="28"/>
          <w:szCs w:val="28"/>
          <w:lang w:eastAsia="zh-CN"/>
        </w:rPr>
        <w:t>深化公开内容，把政府信息公开与公众的需求紧密联系起来，以注重公众需求为主，多公布与民生相关的规范性文件、重大决策等。</w:t>
      </w:r>
      <w:r>
        <w:rPr>
          <w:rFonts w:hint="eastAsia" w:ascii="仿宋" w:hAnsi="仿宋" w:eastAsia="仿宋" w:cs="仿宋"/>
          <w:color w:val="000000"/>
          <w:kern w:val="0"/>
          <w:sz w:val="28"/>
          <w:szCs w:val="28"/>
        </w:rPr>
        <w:t>进一步完善</w:t>
      </w:r>
      <w:r>
        <w:rPr>
          <w:rFonts w:hint="eastAsia" w:ascii="仿宋" w:hAnsi="仿宋" w:eastAsia="仿宋" w:cs="仿宋"/>
          <w:color w:val="000000"/>
          <w:kern w:val="0"/>
          <w:sz w:val="28"/>
          <w:szCs w:val="28"/>
          <w:lang w:eastAsia="zh-CN"/>
        </w:rPr>
        <w:t>公开机制，建立健全信息公开常态机制</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不断完善信息发布流程，保证发布信息的及时性、有效性、准确性、安全性。进一步结合工作实际，完善政务公开机制建设，对政府信息主动公开、保密审查、制度、工作规程等进行修改完善，使之能与时俱进地适应当前工作的需要，</w:t>
      </w:r>
      <w:r>
        <w:rPr>
          <w:rFonts w:hint="eastAsia" w:ascii="仿宋" w:hAnsi="仿宋" w:eastAsia="仿宋" w:cs="仿宋"/>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六、其他需要报告的事项</w:t>
      </w:r>
    </w:p>
    <w:p>
      <w:pPr>
        <w:keepNext w:val="0"/>
        <w:keepLines w:val="0"/>
        <w:pageBreakBefore w:val="0"/>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无其他事项报告。</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p>
    <w:p>
      <w:pPr>
        <w:keepNext w:val="0"/>
        <w:keepLines w:val="0"/>
        <w:pageBreakBefore w:val="0"/>
        <w:kinsoku/>
        <w:wordWrap/>
        <w:overflowPunct/>
        <w:topLinePunct w:val="0"/>
        <w:autoSpaceDE/>
        <w:autoSpaceDN/>
        <w:bidi w:val="0"/>
        <w:adjustRightInd/>
        <w:snapToGrid/>
        <w:spacing w:line="540" w:lineRule="exact"/>
        <w:ind w:right="0" w:rightChars="0" w:firstLine="480"/>
        <w:textAlignment w:val="auto"/>
        <w:outlineLvl w:val="9"/>
        <w:rPr>
          <w:rFonts w:hint="eastAsia" w:ascii="仿宋" w:hAnsi="仿宋" w:eastAsia="仿宋" w:cs="仿宋"/>
          <w:color w:val="000000"/>
          <w:kern w:val="0"/>
          <w:sz w:val="28"/>
          <w:szCs w:val="28"/>
        </w:rPr>
      </w:pPr>
    </w:p>
    <w:p>
      <w:pPr>
        <w:keepNext w:val="0"/>
        <w:keepLines w:val="0"/>
        <w:pageBreakBefore w:val="0"/>
        <w:kinsoku/>
        <w:wordWrap/>
        <w:overflowPunct/>
        <w:topLinePunct w:val="0"/>
        <w:autoSpaceDE/>
        <w:autoSpaceDN/>
        <w:bidi w:val="0"/>
        <w:adjustRightInd/>
        <w:snapToGrid/>
        <w:spacing w:line="540" w:lineRule="exact"/>
        <w:ind w:right="0" w:rightChars="0"/>
        <w:jc w:val="right"/>
        <w:textAlignment w:val="auto"/>
        <w:outlineLvl w:val="9"/>
        <w:rPr>
          <w:rFonts w:hint="eastAsia" w:ascii="仿宋" w:hAnsi="仿宋" w:eastAsia="仿宋" w:cs="仿宋"/>
          <w:color w:val="000000"/>
          <w:kern w:val="0"/>
          <w:sz w:val="28"/>
          <w:szCs w:val="28"/>
        </w:rPr>
      </w:pPr>
    </w:p>
    <w:p>
      <w:pPr>
        <w:keepNext w:val="0"/>
        <w:keepLines w:val="0"/>
        <w:pageBreakBefore w:val="0"/>
        <w:kinsoku/>
        <w:wordWrap/>
        <w:overflowPunct/>
        <w:topLinePunct w:val="0"/>
        <w:autoSpaceDE/>
        <w:autoSpaceDN/>
        <w:bidi w:val="0"/>
        <w:adjustRightInd/>
        <w:snapToGrid/>
        <w:spacing w:line="540" w:lineRule="exact"/>
        <w:ind w:right="0" w:rightChars="0"/>
        <w:jc w:val="righ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海盐县</w:t>
      </w:r>
      <w:r>
        <w:rPr>
          <w:rFonts w:hint="eastAsia" w:ascii="仿宋" w:hAnsi="仿宋" w:eastAsia="仿宋" w:cs="仿宋"/>
          <w:color w:val="000000"/>
          <w:kern w:val="0"/>
          <w:sz w:val="28"/>
          <w:szCs w:val="28"/>
          <w:lang w:eastAsia="zh-CN"/>
        </w:rPr>
        <w:t>水利</w:t>
      </w:r>
      <w:r>
        <w:rPr>
          <w:rFonts w:hint="eastAsia" w:ascii="仿宋" w:hAnsi="仿宋" w:eastAsia="仿宋" w:cs="仿宋"/>
          <w:color w:val="000000"/>
          <w:kern w:val="0"/>
          <w:sz w:val="28"/>
          <w:szCs w:val="28"/>
        </w:rPr>
        <w:t>局</w:t>
      </w:r>
    </w:p>
    <w:p>
      <w:pPr>
        <w:keepNext w:val="0"/>
        <w:keepLines w:val="0"/>
        <w:pageBreakBefore w:val="0"/>
        <w:kinsoku/>
        <w:wordWrap/>
        <w:overflowPunct/>
        <w:topLinePunct w:val="0"/>
        <w:autoSpaceDE/>
        <w:autoSpaceDN/>
        <w:bidi w:val="0"/>
        <w:adjustRightInd/>
        <w:snapToGrid/>
        <w:spacing w:line="540" w:lineRule="exact"/>
        <w:ind w:right="0" w:rightChars="0"/>
        <w:jc w:val="right"/>
        <w:textAlignment w:val="auto"/>
        <w:outlineLvl w:val="9"/>
        <w:rPr>
          <w:rFonts w:hint="eastAsia" w:ascii="仿宋" w:hAnsi="仿宋" w:eastAsia="仿宋" w:cs="仿宋"/>
          <w:sz w:val="28"/>
          <w:szCs w:val="28"/>
        </w:rPr>
      </w:pPr>
      <w:r>
        <w:rPr>
          <w:rFonts w:hint="eastAsia" w:ascii="仿宋" w:hAnsi="仿宋" w:eastAsia="仿宋" w:cs="仿宋"/>
          <w:color w:val="000000"/>
          <w:kern w:val="0"/>
          <w:sz w:val="28"/>
          <w:szCs w:val="28"/>
        </w:rPr>
        <w:t>2020年1月</w:t>
      </w:r>
      <w:r>
        <w:rPr>
          <w:rFonts w:hint="eastAsia" w:ascii="仿宋" w:hAnsi="仿宋" w:eastAsia="仿宋" w:cs="仿宋"/>
          <w:color w:val="000000"/>
          <w:kern w:val="0"/>
          <w:sz w:val="28"/>
          <w:szCs w:val="28"/>
          <w:lang w:val="en-US" w:eastAsia="zh-CN"/>
        </w:rPr>
        <w:t>15</w:t>
      </w:r>
      <w:r>
        <w:rPr>
          <w:rFonts w:hint="eastAsia" w:ascii="仿宋" w:hAnsi="仿宋" w:eastAsia="仿宋" w:cs="仿宋"/>
          <w:color w:val="000000"/>
          <w:kern w:val="0"/>
          <w:sz w:val="28"/>
          <w:szCs w:val="28"/>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0EF4818"/>
    <w:rsid w:val="023006A7"/>
    <w:rsid w:val="04D97F2C"/>
    <w:rsid w:val="058E7650"/>
    <w:rsid w:val="05972BB7"/>
    <w:rsid w:val="059960BA"/>
    <w:rsid w:val="05E277B3"/>
    <w:rsid w:val="062C7E66"/>
    <w:rsid w:val="07FA5C24"/>
    <w:rsid w:val="085801BC"/>
    <w:rsid w:val="099459C5"/>
    <w:rsid w:val="0A9D03F6"/>
    <w:rsid w:val="0D99235D"/>
    <w:rsid w:val="0DFC119A"/>
    <w:rsid w:val="101F3001"/>
    <w:rsid w:val="1136026D"/>
    <w:rsid w:val="13B43E61"/>
    <w:rsid w:val="14F212EA"/>
    <w:rsid w:val="150D00C1"/>
    <w:rsid w:val="189936EA"/>
    <w:rsid w:val="1C4E11FC"/>
    <w:rsid w:val="1CEE3304"/>
    <w:rsid w:val="1DC65566"/>
    <w:rsid w:val="220A5266"/>
    <w:rsid w:val="23192EA4"/>
    <w:rsid w:val="261A447F"/>
    <w:rsid w:val="29FF78F4"/>
    <w:rsid w:val="2C796D04"/>
    <w:rsid w:val="2DF413DC"/>
    <w:rsid w:val="2E3455E8"/>
    <w:rsid w:val="2EBE64C7"/>
    <w:rsid w:val="2ED80281"/>
    <w:rsid w:val="310338F4"/>
    <w:rsid w:val="313C05D6"/>
    <w:rsid w:val="35DB18E9"/>
    <w:rsid w:val="3CF70A12"/>
    <w:rsid w:val="3E1F3CF7"/>
    <w:rsid w:val="3E3B674F"/>
    <w:rsid w:val="4A244932"/>
    <w:rsid w:val="4A3A6AD6"/>
    <w:rsid w:val="57885129"/>
    <w:rsid w:val="5E1F6577"/>
    <w:rsid w:val="5E8543E8"/>
    <w:rsid w:val="5FE01DDB"/>
    <w:rsid w:val="622D1620"/>
    <w:rsid w:val="65A279CD"/>
    <w:rsid w:val="68DC3997"/>
    <w:rsid w:val="6A580905"/>
    <w:rsid w:val="6E866461"/>
    <w:rsid w:val="6EE90B5A"/>
    <w:rsid w:val="70AB3BE8"/>
    <w:rsid w:val="70DD77D7"/>
    <w:rsid w:val="747338C5"/>
    <w:rsid w:val="74A57917"/>
    <w:rsid w:val="7621715D"/>
    <w:rsid w:val="767D1B19"/>
    <w:rsid w:val="77245A86"/>
    <w:rsid w:val="79227BAF"/>
    <w:rsid w:val="79A25A9A"/>
    <w:rsid w:val="79C96FDE"/>
    <w:rsid w:val="79D91C4F"/>
    <w:rsid w:val="7B050F64"/>
    <w:rsid w:val="7C074BB3"/>
    <w:rsid w:val="7DD83F64"/>
    <w:rsid w:val="7FEF35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HPX1</cp:lastModifiedBy>
  <cp:lastPrinted>2020-01-14T08:06:00Z</cp:lastPrinted>
  <dcterms:modified xsi:type="dcterms:W3CDTF">2021-01-20T07:17:26Z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