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000000"/>
          <w:kern w:val="0"/>
          <w:sz w:val="36"/>
          <w:szCs w:val="36"/>
          <w:lang w:eastAsia="zh-CN"/>
        </w:rPr>
      </w:pPr>
      <w:r>
        <w:rPr>
          <w:rFonts w:hint="eastAsia" w:ascii="宋体" w:hAnsi="宋体" w:eastAsia="宋体" w:cs="宋体"/>
          <w:b/>
          <w:bCs/>
          <w:color w:val="000000"/>
          <w:kern w:val="0"/>
          <w:sz w:val="36"/>
          <w:szCs w:val="36"/>
        </w:rPr>
        <w:t>海盐县</w:t>
      </w:r>
      <w:r>
        <w:rPr>
          <w:rFonts w:hint="eastAsia" w:ascii="宋体" w:hAnsi="宋体" w:eastAsia="宋体" w:cs="宋体"/>
          <w:b/>
          <w:bCs/>
          <w:color w:val="000000"/>
          <w:kern w:val="0"/>
          <w:sz w:val="36"/>
          <w:szCs w:val="36"/>
          <w:lang w:eastAsia="zh-CN"/>
        </w:rPr>
        <w:t>发展和改革局</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lang w:val="en-US" w:eastAsia="zh-CN"/>
        </w:rPr>
        <w:t>2019年度</w:t>
      </w:r>
      <w:r>
        <w:rPr>
          <w:rFonts w:hint="eastAsia" w:ascii="宋体" w:hAnsi="宋体" w:eastAsia="宋体" w:cs="宋体"/>
          <w:b/>
          <w:bCs/>
          <w:color w:val="000000"/>
          <w:kern w:val="0"/>
          <w:sz w:val="36"/>
          <w:szCs w:val="36"/>
        </w:rPr>
        <w:t>政府信息公开工作年度报告</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2019年，</w:t>
      </w:r>
      <w:r>
        <w:rPr>
          <w:rFonts w:hint="eastAsia" w:ascii="仿宋_GB2312" w:hAnsi="仿宋_GB2312" w:eastAsia="仿宋_GB2312" w:cs="仿宋_GB2312"/>
          <w:b w:val="0"/>
          <w:bCs w:val="0"/>
          <w:color w:val="000000"/>
          <w:kern w:val="0"/>
          <w:sz w:val="32"/>
          <w:szCs w:val="32"/>
          <w:lang w:eastAsia="zh-CN"/>
        </w:rPr>
        <w:t>海盐发展和改革局依据《中华人民共和国政府信息公开条例》（以下简称《条例》）的要求,公布</w:t>
      </w:r>
      <w:r>
        <w:rPr>
          <w:rFonts w:hint="eastAsia" w:ascii="仿宋_GB2312" w:hAnsi="仿宋_GB2312" w:eastAsia="仿宋_GB2312" w:cs="仿宋_GB2312"/>
          <w:b w:val="0"/>
          <w:bCs w:val="0"/>
          <w:color w:val="000000"/>
          <w:kern w:val="0"/>
          <w:sz w:val="32"/>
          <w:szCs w:val="32"/>
          <w:lang w:val="en-US" w:eastAsia="zh-CN"/>
        </w:rPr>
        <w:t>2019年度政府信息公开工作年度报告</w:t>
      </w:r>
      <w:r>
        <w:rPr>
          <w:rFonts w:hint="eastAsia" w:ascii="仿宋_GB2312" w:hAnsi="仿宋_GB2312" w:eastAsia="仿宋_GB2312" w:cs="仿宋_GB2312"/>
          <w:b w:val="0"/>
          <w:bCs w:val="0"/>
          <w:color w:val="000000"/>
          <w:kern w:val="0"/>
          <w:sz w:val="32"/>
          <w:szCs w:val="32"/>
          <w:lang w:eastAsia="zh-CN"/>
        </w:rPr>
        <w:t>。本报告数据统计时限自201</w:t>
      </w:r>
      <w:r>
        <w:rPr>
          <w:rFonts w:hint="eastAsia" w:ascii="仿宋_GB2312" w:hAnsi="仿宋_GB2312" w:eastAsia="仿宋_GB2312" w:cs="仿宋_GB2312"/>
          <w:b w:val="0"/>
          <w:bCs w:val="0"/>
          <w:color w:val="000000"/>
          <w:kern w:val="0"/>
          <w:sz w:val="32"/>
          <w:szCs w:val="32"/>
          <w:lang w:val="en-US" w:eastAsia="zh-CN"/>
        </w:rPr>
        <w:t>9</w:t>
      </w:r>
      <w:r>
        <w:rPr>
          <w:rFonts w:hint="eastAsia" w:ascii="仿宋_GB2312" w:hAnsi="仿宋_GB2312" w:eastAsia="仿宋_GB2312" w:cs="仿宋_GB2312"/>
          <w:b w:val="0"/>
          <w:bCs w:val="0"/>
          <w:color w:val="000000"/>
          <w:kern w:val="0"/>
          <w:sz w:val="32"/>
          <w:szCs w:val="32"/>
          <w:lang w:eastAsia="zh-CN"/>
        </w:rPr>
        <w:t>年1月1日至201</w:t>
      </w:r>
      <w:r>
        <w:rPr>
          <w:rFonts w:hint="eastAsia" w:ascii="仿宋_GB2312" w:hAnsi="仿宋_GB2312" w:eastAsia="仿宋_GB2312" w:cs="仿宋_GB2312"/>
          <w:b w:val="0"/>
          <w:bCs w:val="0"/>
          <w:color w:val="000000"/>
          <w:kern w:val="0"/>
          <w:sz w:val="32"/>
          <w:szCs w:val="32"/>
          <w:lang w:val="en-US" w:eastAsia="zh-CN"/>
        </w:rPr>
        <w:t>9</w:t>
      </w:r>
      <w:r>
        <w:rPr>
          <w:rFonts w:hint="eastAsia" w:ascii="仿宋_GB2312" w:hAnsi="仿宋_GB2312" w:eastAsia="仿宋_GB2312" w:cs="仿宋_GB2312"/>
          <w:b w:val="0"/>
          <w:bCs w:val="0"/>
          <w:color w:val="000000"/>
          <w:kern w:val="0"/>
          <w:sz w:val="32"/>
          <w:szCs w:val="32"/>
          <w:lang w:eastAsia="zh-CN"/>
        </w:rPr>
        <w:t>年12月31日。如对本报告有任何疑问，请与海盐发展和改革局办公室联系（地址：武原街道秦山路</w:t>
      </w:r>
      <w:r>
        <w:rPr>
          <w:rFonts w:hint="eastAsia" w:ascii="仿宋_GB2312" w:hAnsi="仿宋_GB2312" w:eastAsia="仿宋_GB2312" w:cs="仿宋_GB2312"/>
          <w:b w:val="0"/>
          <w:bCs w:val="0"/>
          <w:color w:val="000000"/>
          <w:kern w:val="0"/>
          <w:sz w:val="32"/>
          <w:szCs w:val="32"/>
          <w:lang w:val="en-US" w:eastAsia="zh-CN"/>
        </w:rPr>
        <w:t>128号</w:t>
      </w:r>
      <w:r>
        <w:rPr>
          <w:rFonts w:hint="eastAsia" w:ascii="仿宋_GB2312" w:hAnsi="仿宋_GB2312" w:eastAsia="仿宋_GB2312" w:cs="仿宋_GB2312"/>
          <w:b w:val="0"/>
          <w:bCs w:val="0"/>
          <w:color w:val="000000"/>
          <w:kern w:val="0"/>
          <w:sz w:val="32"/>
          <w:szCs w:val="32"/>
          <w:lang w:eastAsia="zh-CN"/>
        </w:rPr>
        <w:t>，邮编：314300，电话：86</w:t>
      </w:r>
      <w:r>
        <w:rPr>
          <w:rFonts w:hint="eastAsia" w:ascii="仿宋_GB2312" w:hAnsi="仿宋_GB2312" w:eastAsia="仿宋_GB2312" w:cs="仿宋_GB2312"/>
          <w:b w:val="0"/>
          <w:bCs w:val="0"/>
          <w:color w:val="000000"/>
          <w:kern w:val="0"/>
          <w:sz w:val="32"/>
          <w:szCs w:val="32"/>
          <w:lang w:val="en-US" w:eastAsia="zh-CN"/>
        </w:rPr>
        <w:t>035795</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2019年，</w:t>
      </w:r>
      <w:r>
        <w:rPr>
          <w:rFonts w:hint="eastAsia" w:ascii="仿宋_GB2312" w:hAnsi="仿宋_GB2312" w:eastAsia="仿宋_GB2312" w:cs="仿宋_GB2312"/>
          <w:b w:val="0"/>
          <w:bCs w:val="0"/>
          <w:color w:val="000000"/>
          <w:kern w:val="0"/>
          <w:sz w:val="32"/>
          <w:szCs w:val="32"/>
          <w:lang w:eastAsia="zh-CN"/>
        </w:rPr>
        <w:t>海盐发展和改革局</w:t>
      </w:r>
      <w:r>
        <w:rPr>
          <w:rFonts w:hint="eastAsia" w:ascii="仿宋_GB2312" w:hAnsi="仿宋_GB2312" w:eastAsia="仿宋_GB2312" w:cs="仿宋_GB2312"/>
          <w:b w:val="0"/>
          <w:bCs w:val="0"/>
          <w:color w:val="000000"/>
          <w:kern w:val="0"/>
          <w:sz w:val="32"/>
          <w:szCs w:val="32"/>
          <w:lang w:val="en-US" w:eastAsia="zh-CN"/>
        </w:rPr>
        <w:t>在县政府信息公开网站上主动公开政府信息361条。其中：机构信息10条，政策文件281条、规划计划4条、工作信息44条、人事信息4条、财政信息18条。微博公开信息85条。</w:t>
      </w:r>
    </w:p>
    <w:p>
      <w:pPr>
        <w:keepNext w:val="0"/>
        <w:keepLines w:val="0"/>
        <w:pageBreakBefore w:val="0"/>
        <w:numPr>
          <w:ilvl w:val="0"/>
          <w:numId w:val="0"/>
        </w:numPr>
        <w:kinsoku/>
        <w:wordWrap/>
        <w:overflowPunct/>
        <w:topLinePunct w:val="0"/>
        <w:autoSpaceDE/>
        <w:autoSpaceDN/>
        <w:bidi w:val="0"/>
        <w:adjustRightInd/>
        <w:spacing w:line="53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1.加强公开渠道建设。</w:t>
      </w:r>
      <w:r>
        <w:rPr>
          <w:rFonts w:hint="eastAsia" w:ascii="仿宋_GB2312" w:hAnsi="仿宋_GB2312" w:eastAsia="仿宋_GB2312" w:cs="仿宋_GB2312"/>
          <w:b w:val="0"/>
          <w:bCs/>
          <w:sz w:val="32"/>
          <w:szCs w:val="32"/>
          <w:lang w:val="en-US" w:eastAsia="zh-CN"/>
        </w:rPr>
        <w:t>按照简便易行、形式多样、科学有效、便于监督的原则，采取多种形式，通过充分利用局大厅政务公开栏、海盐门户网站、微博、浙江政务服务网等多种渠道，积极回应社会广泛关注、群众反映强烈的突出问题，提高服务群众、服务基层、服务企业的能力和水平，将部门职责、年度重点工作等内容进行公开公示。</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2.突出监督保障。</w:t>
      </w:r>
      <w:r>
        <w:rPr>
          <w:rFonts w:hint="eastAsia" w:ascii="仿宋_GB2312" w:hAnsi="仿宋_GB2312" w:eastAsia="仿宋_GB2312" w:cs="仿宋_GB2312"/>
          <w:b w:val="0"/>
          <w:bCs/>
          <w:sz w:val="32"/>
          <w:szCs w:val="32"/>
          <w:lang w:val="en-US" w:eastAsia="zh-CN"/>
        </w:rPr>
        <w:t>加强信息保密审查，按照“先审查后公开”和“一事一审”的原则，强化政府信息主动公开保密审查机制，防止泄密事件发生。着力完善内部约束机制和对外服务制度。</w:t>
      </w:r>
      <w:r>
        <w:rPr>
          <w:rFonts w:hint="eastAsia" w:ascii="仿宋_GB2312" w:hAnsi="仿宋_GB2312" w:eastAsia="仿宋_GB2312" w:cs="仿宋_GB2312"/>
          <w:color w:val="000000"/>
          <w:sz w:val="32"/>
          <w:szCs w:val="32"/>
          <w:lang w:eastAsia="zh-CN"/>
        </w:rPr>
        <w:t>全年</w:t>
      </w:r>
      <w:r>
        <w:rPr>
          <w:rFonts w:hint="eastAsia" w:ascii="仿宋_GB2312" w:hAnsi="仿宋_GB2312" w:eastAsia="仿宋_GB2312" w:cs="仿宋_GB2312"/>
          <w:color w:val="000000"/>
          <w:sz w:val="32"/>
          <w:szCs w:val="32"/>
        </w:rPr>
        <w:t>未发生政府信息公开方面的举报、投诉情况，未发生泄密事件，未发生行政复议、行政诉讼败诉情况，未出现信息公开突发应急事件及不符合《条例》要求的其他造成恶劣影响的情况发生。</w:t>
      </w:r>
    </w:p>
    <w:p>
      <w:pPr>
        <w:keepNext w:val="0"/>
        <w:keepLines w:val="0"/>
        <w:pageBreakBefore w:val="0"/>
        <w:numPr>
          <w:ilvl w:val="0"/>
          <w:numId w:val="0"/>
        </w:numPr>
        <w:kinsoku/>
        <w:wordWrap/>
        <w:overflowPunct/>
        <w:topLinePunct w:val="0"/>
        <w:autoSpaceDE/>
        <w:autoSpaceDN/>
        <w:bidi w:val="0"/>
        <w:adjustRightInd/>
        <w:spacing w:line="53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3.规范依申请公开工作。</w:t>
      </w:r>
      <w:r>
        <w:rPr>
          <w:rFonts w:hint="eastAsia" w:ascii="仿宋_GB2312" w:hAnsi="仿宋_GB2312" w:eastAsia="仿宋_GB2312" w:cs="仿宋_GB2312"/>
          <w:b w:val="0"/>
          <w:bCs/>
          <w:sz w:val="32"/>
          <w:szCs w:val="32"/>
          <w:lang w:val="en-US" w:eastAsia="zh-CN"/>
        </w:rPr>
        <w:t>强化法律、协调、时间意识，确保答复合法有据、流程规范合理、形式严肃严谨。今年共受理依申请公开7件，全都为公民通过网上申请，都按照规定流程和时间进行答复。</w:t>
      </w:r>
    </w:p>
    <w:p>
      <w:pPr>
        <w:keepNext w:val="0"/>
        <w:keepLines w:val="0"/>
        <w:pageBreakBefore w:val="0"/>
        <w:kinsoku/>
        <w:wordWrap/>
        <w:overflowPunct/>
        <w:topLinePunct w:val="0"/>
        <w:autoSpaceDE/>
        <w:autoSpaceDN/>
        <w:bidi w:val="0"/>
        <w:adjustRightInd/>
        <w:spacing w:line="530" w:lineRule="exact"/>
        <w:ind w:left="0" w:leftChars="0" w:right="0" w:rightChars="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 xml:space="preserve">    4.</w:t>
      </w:r>
      <w:r>
        <w:rPr>
          <w:rFonts w:hint="eastAsia" w:ascii="仿宋_GB2312" w:hAnsi="仿宋_GB2312" w:eastAsia="仿宋_GB2312" w:cs="仿宋_GB2312"/>
          <w:b/>
          <w:sz w:val="32"/>
          <w:szCs w:val="32"/>
        </w:rPr>
        <w:t>全面推进重点领域公开</w:t>
      </w:r>
      <w:r>
        <w:rPr>
          <w:rFonts w:hint="eastAsia" w:ascii="仿宋_GB2312" w:hAnsi="仿宋_GB2312" w:eastAsia="仿宋_GB2312" w:cs="仿宋_GB2312"/>
          <w:b/>
          <w:sz w:val="32"/>
          <w:szCs w:val="32"/>
          <w:lang w:eastAsia="zh-CN"/>
        </w:rPr>
        <w:t>。</w:t>
      </w:r>
    </w:p>
    <w:p>
      <w:pPr>
        <w:keepNext w:val="0"/>
        <w:keepLines w:val="0"/>
        <w:pageBreakBefore w:val="0"/>
        <w:kinsoku/>
        <w:wordWrap/>
        <w:overflowPunct/>
        <w:topLinePunct w:val="0"/>
        <w:autoSpaceDE/>
        <w:autoSpaceDN/>
        <w:bidi w:val="0"/>
        <w:adjustRightInd/>
        <w:spacing w:line="530" w:lineRule="exact"/>
        <w:ind w:left="0" w:leftChars="0" w:right="0" w:rightChars="0" w:firstLine="642"/>
        <w:jc w:val="both"/>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bCs w:val="0"/>
          <w:color w:val="000000"/>
          <w:sz w:val="32"/>
          <w:szCs w:val="32"/>
          <w:lang w:val="en-US" w:eastAsia="zh-CN"/>
        </w:rPr>
        <w:t>一是加大解读经济社会发展重点任务</w:t>
      </w:r>
      <w:r>
        <w:rPr>
          <w:rFonts w:hint="eastAsia" w:ascii="仿宋_GB2312" w:hAnsi="仿宋_GB2312" w:eastAsia="仿宋_GB2312" w:cs="仿宋_GB2312"/>
          <w:b/>
          <w:bCs w:val="0"/>
          <w:color w:val="000000"/>
          <w:sz w:val="32"/>
          <w:szCs w:val="32"/>
        </w:rPr>
        <w:t>。</w:t>
      </w:r>
      <w:r>
        <w:rPr>
          <w:rFonts w:hint="eastAsia" w:ascii="仿宋_GB2312" w:hAnsi="仿宋_GB2312" w:eastAsia="仿宋_GB2312" w:cs="仿宋_GB2312"/>
          <w:b w:val="0"/>
          <w:bCs/>
          <w:color w:val="000000"/>
          <w:sz w:val="32"/>
          <w:szCs w:val="32"/>
        </w:rPr>
        <w:t>在公开基本内容的基础上，重点公开与群众联系最密切、最直接，群众最关心的热点问题，切实增强行政工作透明度，保障群众知情权和监督权。 根据《浙江省发展改革委关于调整天然气门站价格的通知》（浙发改价格〔2019〕200号）、《嘉兴市发展改革委关于调整天然气价格等有关事项的通知》（嘉发改〔2019〕74号）要求，经县政府同意，及时调整海盐县非居民用天然气销售价格并公布。及时公开、解读省、市、县政府重大决策部署，海盐县2018年国民经济和社会发展计划执行情况、2019年国民经济和社会发展</w:t>
      </w:r>
      <w:r>
        <w:rPr>
          <w:rFonts w:hint="eastAsia" w:ascii="仿宋_GB2312" w:hAnsi="仿宋_GB2312" w:eastAsia="仿宋_GB2312" w:cs="仿宋_GB2312"/>
          <w:b w:val="0"/>
          <w:bCs/>
          <w:color w:val="000000"/>
          <w:sz w:val="32"/>
          <w:szCs w:val="32"/>
          <w:lang w:eastAsia="zh-CN"/>
        </w:rPr>
        <w:t>的主要指标</w:t>
      </w:r>
      <w:r>
        <w:rPr>
          <w:rFonts w:hint="eastAsia" w:ascii="仿宋_GB2312" w:hAnsi="仿宋_GB2312" w:eastAsia="仿宋_GB2312" w:cs="仿宋_GB2312"/>
          <w:b w:val="0"/>
          <w:bCs/>
          <w:color w:val="000000"/>
          <w:sz w:val="32"/>
          <w:szCs w:val="32"/>
        </w:rPr>
        <w:t>，就开展的主要重点工作及需要关注的问题，特别是我县经济转型升级中的亮点，进行全方位解读。还对海盐县2018年度第二批家庭屋顶光伏项目补助进行公示。</w:t>
      </w:r>
    </w:p>
    <w:p>
      <w:pPr>
        <w:keepNext w:val="0"/>
        <w:keepLines w:val="0"/>
        <w:pageBreakBefore w:val="0"/>
        <w:numPr>
          <w:ilvl w:val="0"/>
          <w:numId w:val="0"/>
        </w:numPr>
        <w:kinsoku/>
        <w:wordWrap/>
        <w:overflowPunct/>
        <w:topLinePunct w:val="0"/>
        <w:autoSpaceDE/>
        <w:autoSpaceDN/>
        <w:bidi w:val="0"/>
        <w:adjustRightInd/>
        <w:snapToGrid/>
        <w:spacing w:line="530" w:lineRule="exact"/>
        <w:ind w:left="0" w:leftChars="0" w:right="0" w:rightChars="0" w:firstLine="642"/>
        <w:jc w:val="both"/>
        <w:textAlignment w:val="auto"/>
        <w:outlineLvl w:val="9"/>
        <w:rPr>
          <w:rFonts w:hint="eastAsia" w:ascii="仿宋_GB2312" w:eastAsia="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二是持续做好人大代表建议和政协提案办理结果公开。</w:t>
      </w:r>
      <w:r>
        <w:rPr>
          <w:rFonts w:hint="eastAsia" w:ascii="仿宋_GB2312" w:eastAsia="仿宋_GB2312"/>
          <w:color w:val="000000"/>
          <w:sz w:val="32"/>
          <w:szCs w:val="32"/>
        </w:rPr>
        <w:t>进一步推进人大代表建议和政协委员提案办理结果公开,对社会广泛关注、关系国计民生的建议和提案,</w:t>
      </w:r>
      <w:r>
        <w:rPr>
          <w:rFonts w:hint="eastAsia" w:ascii="仿宋_GB2312" w:hAnsi="仿宋_GB2312" w:eastAsia="仿宋_GB2312" w:cs="仿宋_GB2312"/>
          <w:color w:val="000000"/>
          <w:sz w:val="32"/>
          <w:szCs w:val="32"/>
          <w:lang w:eastAsia="zh-CN"/>
        </w:rPr>
        <w:t>全年</w:t>
      </w:r>
      <w:r>
        <w:rPr>
          <w:rFonts w:hint="eastAsia" w:ascii="仿宋_GB2312" w:eastAsia="仿宋_GB2312"/>
          <w:color w:val="000000"/>
          <w:sz w:val="32"/>
          <w:szCs w:val="32"/>
          <w:lang w:eastAsia="zh-CN"/>
        </w:rPr>
        <w:t>共公开</w:t>
      </w:r>
      <w:r>
        <w:rPr>
          <w:rFonts w:hint="eastAsia" w:ascii="仿宋_GB2312" w:eastAsia="仿宋_GB2312"/>
          <w:color w:val="000000"/>
          <w:sz w:val="32"/>
          <w:szCs w:val="32"/>
          <w:lang w:val="en-US" w:eastAsia="zh-CN"/>
        </w:rPr>
        <w:t>4件政协提案，主要内容涉及健康产业、特色小镇、乡村振兴、长三角一体化。</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b/>
          <w:bCs/>
          <w:color w:val="000000"/>
          <w:sz w:val="32"/>
          <w:szCs w:val="32"/>
          <w:lang w:eastAsia="zh-CN"/>
        </w:rPr>
        <w:t>进一步推进重大决策预公开。</w:t>
      </w:r>
      <w:r>
        <w:rPr>
          <w:rFonts w:hint="eastAsia" w:ascii="仿宋_GB2312" w:hAnsi="仿宋_GB2312" w:eastAsia="仿宋_GB2312" w:cs="仿宋_GB2312"/>
          <w:b w:val="0"/>
          <w:bCs w:val="0"/>
          <w:color w:val="000000"/>
          <w:sz w:val="32"/>
          <w:szCs w:val="32"/>
          <w:lang w:eastAsia="zh-CN"/>
        </w:rPr>
        <w:t>涉及公共利益的重大事项，主动向社会公布决策草案、决策依据等，通过网络征集、咨询协商等多种形式，广泛听取公众意见，助力高质量决策。</w:t>
      </w:r>
      <w:r>
        <w:rPr>
          <w:rFonts w:hint="eastAsia" w:ascii="仿宋_GB2312" w:hAnsi="仿宋_GB2312" w:eastAsia="仿宋_GB2312" w:cs="仿宋_GB2312"/>
          <w:color w:val="000000"/>
          <w:sz w:val="32"/>
          <w:szCs w:val="32"/>
        </w:rPr>
        <w:t>强化</w:t>
      </w:r>
      <w:r>
        <w:rPr>
          <w:rFonts w:hint="eastAsia" w:ascii="仿宋_GB2312" w:hAnsi="仿宋_GB2312" w:eastAsia="仿宋_GB2312" w:cs="仿宋_GB2312"/>
          <w:color w:val="000000"/>
          <w:sz w:val="32"/>
          <w:szCs w:val="32"/>
          <w:lang w:eastAsia="zh-CN"/>
        </w:rPr>
        <w:t>教育</w:t>
      </w:r>
      <w:r>
        <w:rPr>
          <w:rFonts w:hint="eastAsia" w:ascii="仿宋_GB2312" w:hAnsi="仿宋_GB2312" w:eastAsia="仿宋_GB2312" w:cs="仿宋_GB2312"/>
          <w:color w:val="000000"/>
          <w:sz w:val="32"/>
          <w:szCs w:val="32"/>
        </w:rPr>
        <w:t>收费公开透明，及时向社会</w:t>
      </w:r>
      <w:r>
        <w:rPr>
          <w:rFonts w:hint="eastAsia" w:ascii="仿宋_GB2312" w:hAnsi="仿宋_GB2312" w:eastAsia="仿宋_GB2312" w:cs="仿宋_GB2312"/>
          <w:color w:val="000000"/>
          <w:sz w:val="32"/>
          <w:szCs w:val="32"/>
          <w:lang w:eastAsia="zh-CN"/>
        </w:rPr>
        <w:t>公示教育收费。包括收费项目、收费依据、收费标准，</w:t>
      </w:r>
      <w:r>
        <w:rPr>
          <w:rFonts w:hint="eastAsia" w:ascii="仿宋_GB2312" w:hAnsi="仿宋_GB2312" w:eastAsia="仿宋_GB2312" w:cs="仿宋_GB2312"/>
          <w:b w:val="0"/>
          <w:bCs w:val="0"/>
          <w:color w:val="000000"/>
          <w:sz w:val="32"/>
          <w:szCs w:val="32"/>
          <w:lang w:eastAsia="zh-CN"/>
        </w:rPr>
        <w:t>使群众一目了然，增强了群众和企业的获得感和参与感。同时还对本单位采购领域妨碍公平竞争事项清理结果公示。</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四是加快建立信用信息发布。</w:t>
      </w:r>
      <w:r>
        <w:rPr>
          <w:rFonts w:hint="eastAsia" w:ascii="仿宋_GB2312" w:hAnsi="仿宋_GB2312" w:eastAsia="仿宋_GB2312" w:cs="仿宋_GB2312"/>
          <w:color w:val="000000"/>
          <w:sz w:val="32"/>
          <w:szCs w:val="32"/>
          <w:lang w:val="en-US" w:eastAsia="zh-CN"/>
        </w:rPr>
        <w:t>为推动“信用海盐”建设，规范市场秩序，净化市场环境，进一步推进社会诚信建设制度化。建立信用承诺制，按照国务院关于建立完善守信联合激励和失信联合惩戒制度加快推进社会诚信建设的指导意见要求，切实加大对纳入失信黑名单的自然人、法人和其他组织惩戒力度，以行政监管性惩戒带动市场性惩戒、行业性惩戒和社会性惩戒，鼓励市场主体、行业协会、舆论媒体在市场交易、行业自律、社会监督等方面发挥对失信主体的惩戒作用，加快形成“四位一体”的失信联合惩戒体系。今年以来归集了法院、环保、人力社保等部门公开发布的黑名单信息，并与8月发布了2019年第一批失信黑名单，分四大类总计43个榜单对象。</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left="0" w:leftChars="0" w:right="0" w:rightChars="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eastAsia="仿宋_GB2312"/>
          <w:b/>
          <w:sz w:val="32"/>
          <w:szCs w:val="32"/>
          <w:lang w:val="en-US" w:eastAsia="zh-CN"/>
        </w:rPr>
        <w:t xml:space="preserve">    五是</w:t>
      </w:r>
      <w:r>
        <w:rPr>
          <w:rFonts w:hint="eastAsia" w:ascii="仿宋_GB2312" w:eastAsia="仿宋_GB2312"/>
          <w:b/>
          <w:sz w:val="32"/>
          <w:szCs w:val="32"/>
          <w:lang w:eastAsia="zh-CN"/>
        </w:rPr>
        <w:t>加强建设项目批准和实施</w:t>
      </w:r>
      <w:r>
        <w:rPr>
          <w:rFonts w:hint="eastAsia" w:ascii="仿宋_GB2312" w:eastAsia="仿宋_GB2312"/>
          <w:b/>
          <w:sz w:val="32"/>
          <w:szCs w:val="32"/>
        </w:rPr>
        <w:t>。</w:t>
      </w:r>
      <w:r>
        <w:rPr>
          <w:rFonts w:hint="eastAsia" w:ascii="仿宋_GB2312" w:hAnsi="仿宋_GB2312" w:eastAsia="仿宋_GB2312" w:cs="仿宋_GB2312"/>
          <w:sz w:val="32"/>
          <w:szCs w:val="32"/>
        </w:rPr>
        <w:t>围绕水利、市政等基础设施，以及教育、卫生、文化事业建设等工程，及时公开目录清单，做好审批、实施等信息的公开</w:t>
      </w:r>
      <w:r>
        <w:rPr>
          <w:rFonts w:hint="eastAsia" w:ascii="仿宋_GB2312" w:eastAsia="仿宋_GB2312"/>
          <w:sz w:val="32"/>
          <w:szCs w:val="32"/>
        </w:rPr>
        <w:t>等涉及公共利益和民生领域的</w:t>
      </w:r>
      <w:r>
        <w:rPr>
          <w:rFonts w:hint="eastAsia" w:ascii="仿宋_GB2312" w:eastAsia="仿宋_GB2312"/>
          <w:sz w:val="32"/>
          <w:szCs w:val="32"/>
          <w:lang w:eastAsia="zh-CN"/>
        </w:rPr>
        <w:t>建设</w:t>
      </w:r>
      <w:r>
        <w:rPr>
          <w:rFonts w:hint="eastAsia" w:ascii="仿宋_GB2312" w:eastAsia="仿宋_GB2312"/>
          <w:sz w:val="32"/>
          <w:szCs w:val="32"/>
        </w:rPr>
        <w:t>项目，实行公开制度，</w:t>
      </w:r>
      <w:r>
        <w:rPr>
          <w:rFonts w:hint="eastAsia" w:ascii="仿宋_GB2312" w:eastAsia="仿宋_GB2312"/>
          <w:sz w:val="32"/>
          <w:szCs w:val="32"/>
          <w:lang w:val="en-US" w:eastAsia="zh-CN"/>
        </w:rPr>
        <w:t>对有重要影响的固定资产投资项目，</w:t>
      </w:r>
      <w:r>
        <w:rPr>
          <w:rFonts w:hint="eastAsia" w:ascii="仿宋_GB2312" w:eastAsia="仿宋_GB2312"/>
          <w:sz w:val="32"/>
          <w:szCs w:val="32"/>
        </w:rPr>
        <w:t>对</w:t>
      </w:r>
      <w:r>
        <w:rPr>
          <w:rFonts w:hint="eastAsia" w:ascii="仿宋_GB2312" w:eastAsia="仿宋_GB2312"/>
          <w:sz w:val="32"/>
          <w:szCs w:val="32"/>
          <w:lang w:eastAsia="zh-CN"/>
        </w:rPr>
        <w:t>建设</w:t>
      </w:r>
      <w:r>
        <w:rPr>
          <w:rFonts w:hint="eastAsia" w:ascii="仿宋_GB2312" w:eastAsia="仿宋_GB2312"/>
          <w:sz w:val="32"/>
          <w:szCs w:val="32"/>
        </w:rPr>
        <w:t>项目，在审批前向社会公开有关内容，广泛听取各方面的意见和建议，提高决策的科学化、民主化水平，</w:t>
      </w:r>
      <w:r>
        <w:rPr>
          <w:rFonts w:hint="eastAsia" w:ascii="仿宋_GB2312" w:eastAsia="仿宋_GB2312"/>
          <w:sz w:val="32"/>
          <w:szCs w:val="32"/>
          <w:lang w:val="en-US" w:eastAsia="zh-CN"/>
        </w:rPr>
        <w:t>全年</w:t>
      </w:r>
      <w:r>
        <w:rPr>
          <w:rFonts w:hint="eastAsia" w:ascii="仿宋_GB2312" w:eastAsia="仿宋_GB2312"/>
          <w:sz w:val="32"/>
          <w:szCs w:val="32"/>
          <w:lang w:eastAsia="zh-CN"/>
        </w:rPr>
        <w:t>共公开项目审批</w:t>
      </w:r>
      <w:r>
        <w:rPr>
          <w:rFonts w:hint="eastAsia" w:ascii="仿宋_GB2312" w:eastAsia="仿宋_GB2312"/>
          <w:sz w:val="32"/>
          <w:szCs w:val="32"/>
          <w:lang w:val="en-US" w:eastAsia="zh-CN"/>
        </w:rPr>
        <w:t>281件。</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二、主动公开政府信息情况</w:t>
      </w:r>
    </w:p>
    <w:tbl>
      <w:tblPr>
        <w:tblStyle w:val="7"/>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16</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lang w:eastAsia="zh-CN"/>
              </w:rPr>
              <w:t xml:space="preserve">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385</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97"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26</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66.98万元</w:t>
            </w:r>
          </w:p>
        </w:tc>
      </w:tr>
    </w:tbl>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三、收到和处理政府信息公开申请情况</w:t>
      </w:r>
    </w:p>
    <w:tbl>
      <w:tblPr>
        <w:tblStyle w:val="7"/>
        <w:tblW w:w="9071" w:type="dxa"/>
        <w:jc w:val="center"/>
        <w:tblInd w:w="0"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7</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spacing w:val="-2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7</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7</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bl>
    <w:p>
      <w:pPr>
        <w:widowControl/>
        <w:spacing w:line="432" w:lineRule="atLeast"/>
        <w:ind w:firstLine="640" w:firstLineChars="200"/>
        <w:jc w:val="left"/>
        <w:rPr>
          <w:rFonts w:hint="eastAsia" w:ascii="宋体" w:hAnsi="宋体" w:cs="宋体"/>
          <w:color w:val="000000"/>
          <w:kern w:val="0"/>
          <w:sz w:val="24"/>
        </w:rPr>
      </w:pPr>
      <w:r>
        <w:rPr>
          <w:rFonts w:hint="eastAsia" w:ascii="黑体" w:hAnsi="黑体" w:eastAsia="黑体" w:cs="黑体"/>
          <w:b w:val="0"/>
          <w:bCs w:val="0"/>
          <w:color w:val="000000"/>
          <w:kern w:val="0"/>
          <w:sz w:val="32"/>
          <w:szCs w:val="32"/>
        </w:rPr>
        <w:t>四、政府信息公开行政复议、行政诉讼情况</w:t>
      </w:r>
    </w:p>
    <w:tbl>
      <w:tblPr>
        <w:tblStyle w:val="7"/>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五、存在的主要问题及改进情况</w:t>
      </w:r>
    </w:p>
    <w:p>
      <w:pPr>
        <w:keepNext w:val="0"/>
        <w:keepLines w:val="0"/>
        <w:pageBreakBefore w:val="0"/>
        <w:kinsoku/>
        <w:wordWrap/>
        <w:overflowPunct/>
        <w:topLinePunct w:val="0"/>
        <w:autoSpaceDE/>
        <w:autoSpaceDN/>
        <w:bidi w:val="0"/>
        <w:adjustRightIn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政府信息公开工作总体上稳步推进，但也存在一些问题，主要表现在：</w:t>
      </w:r>
      <w:r>
        <w:rPr>
          <w:rFonts w:hint="eastAsia" w:ascii="仿宋_GB2312" w:hAnsi="仿宋_GB2312" w:eastAsia="仿宋_GB2312" w:cs="仿宋_GB2312"/>
          <w:b/>
          <w:sz w:val="32"/>
          <w:szCs w:val="32"/>
        </w:rPr>
        <w:t>一是</w:t>
      </w:r>
      <w:r>
        <w:rPr>
          <w:rFonts w:hint="eastAsia" w:ascii="仿宋_GB2312" w:hAnsi="仿宋_GB2312" w:eastAsia="仿宋_GB2312" w:cs="仿宋_GB2312"/>
          <w:b w:val="0"/>
          <w:bCs/>
          <w:sz w:val="32"/>
          <w:szCs w:val="32"/>
        </w:rPr>
        <w:t>政府信息公开目录还需进一步细化和完善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政府信息公开时效性有待进一步增强，信息编写不及时。</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在政务公开工作中的沟通协调不够。针对当前信息公开工作中存在的问题，下一步要重点抓好以下几个方面：</w:t>
      </w:r>
      <w:bookmarkStart w:id="0" w:name="OLE_LINK7"/>
      <w:r>
        <w:rPr>
          <w:rFonts w:hint="eastAsia" w:ascii="仿宋_GB2312" w:hAnsi="仿宋_GB2312" w:eastAsia="仿宋_GB2312" w:cs="仿宋_GB2312"/>
          <w:b/>
          <w:sz w:val="32"/>
          <w:szCs w:val="32"/>
        </w:rPr>
        <w:t>一是</w:t>
      </w:r>
      <w:r>
        <w:rPr>
          <w:rFonts w:hint="eastAsia" w:ascii="仿宋_GB2312" w:hAnsi="仿宋_GB2312" w:eastAsia="仿宋_GB2312" w:cs="仿宋_GB2312"/>
          <w:b w:val="0"/>
          <w:bCs/>
          <w:sz w:val="32"/>
          <w:szCs w:val="32"/>
        </w:rPr>
        <w:t>提高干部职工对信息公开工作的认识，加强政务信息公开网站的管理和维护等业务技能培训，增强政务信息公开工作能力。</w:t>
      </w:r>
      <w:r>
        <w:rPr>
          <w:rFonts w:hint="eastAsia" w:ascii="仿宋_GB2312" w:hAnsi="仿宋_GB2312" w:eastAsia="仿宋_GB2312" w:cs="仿宋_GB2312"/>
          <w:b/>
          <w:sz w:val="32"/>
          <w:szCs w:val="32"/>
        </w:rPr>
        <w:t>二是</w:t>
      </w:r>
      <w:r>
        <w:rPr>
          <w:rFonts w:hint="eastAsia" w:ascii="仿宋_GB2312" w:hAnsi="仿宋_GB2312" w:eastAsia="仿宋_GB2312" w:cs="仿宋_GB2312"/>
          <w:b w:val="0"/>
          <w:bCs/>
          <w:sz w:val="32"/>
          <w:szCs w:val="32"/>
        </w:rPr>
        <w:t>规范和完善政务公开的内容、形式，对涉及公众关心的重大问题、重大决策应该公开的及时公开，同时有区别地抓好对内与对外公开，提高公开针对性、实效性。</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进一步强化</w:t>
      </w:r>
      <w:r>
        <w:rPr>
          <w:rFonts w:hint="eastAsia" w:ascii="仿宋_GB2312" w:hAnsi="仿宋_GB2312" w:eastAsia="仿宋_GB2312" w:cs="仿宋_GB2312"/>
          <w:sz w:val="32"/>
          <w:szCs w:val="32"/>
          <w:lang w:eastAsia="zh-CN"/>
        </w:rPr>
        <w:t>督查</w:t>
      </w:r>
      <w:r>
        <w:rPr>
          <w:rFonts w:hint="eastAsia" w:ascii="仿宋_GB2312" w:hAnsi="仿宋_GB2312" w:eastAsia="仿宋_GB2312" w:cs="仿宋_GB2312"/>
          <w:sz w:val="32"/>
          <w:szCs w:val="32"/>
        </w:rPr>
        <w:t>考核机制。将不断完善政府信息公开重点工作考评制度，掌握工作进度，督促信息公开工作有效开展。</w:t>
      </w:r>
      <w:bookmarkEnd w:id="0"/>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无其他事项报告。</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kern w:val="0"/>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eastAsia="zh-CN"/>
        </w:rPr>
        <w:t>海盐县发展和改革局</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480" w:firstLineChars="1400"/>
        <w:textAlignment w:val="auto"/>
        <w:outlineLvl w:val="9"/>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 xml:space="preserve">    2020年1月19日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CS大宋">
    <w:altName w:val="微软雅黑"/>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script"/>
    <w:pitch w:val="default"/>
    <w:sig w:usb0="00000000" w:usb1="0000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swiss"/>
    <w:pitch w:val="default"/>
    <w:sig w:usb0="00000001" w:usb1="080E0000" w:usb2="00000000" w:usb3="00000000" w:csb0="00040000" w:csb1="00000000"/>
  </w:font>
  <w:font w:name="文鼎CS大宋">
    <w:altName w:val="微软雅黑"/>
    <w:panose1 w:val="0201060901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文鼎CS大宋">
    <w:altName w:val="微软雅黑"/>
    <w:panose1 w:val="0201060901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文鼎CS大宋">
    <w:altName w:val="微软雅黑"/>
    <w:panose1 w:val="0201060901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swiss"/>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文星简小标宋">
    <w:altName w:val="宋体"/>
    <w:panose1 w:val="02010609000101010101"/>
    <w:charset w:val="86"/>
    <w:family w:val="swiss"/>
    <w:pitch w:val="default"/>
    <w:sig w:usb0="00000000" w:usb1="00000000" w:usb2="00000010" w:usb3="00000000" w:csb0="00040000" w:csb1="00000000"/>
  </w:font>
  <w:font w:name="文星简小标?">
    <w:altName w:val="宋体"/>
    <w:panose1 w:val="00000000000000000000"/>
    <w:charset w:val="86"/>
    <w:family w:val="swiss"/>
    <w:pitch w:val="default"/>
    <w:sig w:usb0="00000000" w:usb1="00000000" w:usb2="00000010" w:usb3="00000000" w:csb0="00040000" w:csb1="00000000"/>
  </w:font>
  <w:font w:name="文星简小标宋">
    <w:altName w:val="宋体"/>
    <w:panose1 w:val="02010609000101010101"/>
    <w:charset w:val="86"/>
    <w:family w:val="decorative"/>
    <w:pitch w:val="default"/>
    <w:sig w:usb0="00000000" w:usb1="00000000" w:usb2="00000010" w:usb3="00000000" w:csb0="00040000" w:csb1="00000000"/>
  </w:font>
  <w:font w:name="文星简小标?">
    <w:altName w:val="宋体"/>
    <w:panose1 w:val="00000000000000000000"/>
    <w:charset w:val="86"/>
    <w:family w:val="decorative"/>
    <w:pitch w:val="default"/>
    <w:sig w:usb0="00000000" w:usb1="00000000" w:usb2="00000010" w:usb3="00000000" w:csb0="00040000" w:csb1="00000000"/>
  </w:font>
  <w:font w:name="文星简小标宋">
    <w:altName w:val="宋体"/>
    <w:panose1 w:val="02010609000101010101"/>
    <w:charset w:val="86"/>
    <w:family w:val="roman"/>
    <w:pitch w:val="default"/>
    <w:sig w:usb0="00000000" w:usb1="00000000" w:usb2="00000010" w:usb3="00000000" w:csb0="00040000" w:csb1="00000000"/>
  </w:font>
  <w:font w:name="文星简小标?">
    <w:altName w:val="宋体"/>
    <w:panose1 w:val="00000000000000000000"/>
    <w:charset w:val="86"/>
    <w:family w:val="roman"/>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文星简小标?">
    <w:altName w:val="宋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Microsoft YaHei Ui">
    <w:altName w:val="Segoe Print"/>
    <w:panose1 w:val="00000000000000000000"/>
    <w:charset w:val="00"/>
    <w:family w:val="auto"/>
    <w:pitch w:val="default"/>
    <w:sig w:usb0="00000000" w:usb1="00000000" w:usb2="00000000" w:usb3="00000000" w:csb0="00000000" w:csb1="00000000"/>
  </w:font>
  <w:font w:name="方正黑体_GBK">
    <w:altName w:val="宋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modern"/>
    <w:pitch w:val="default"/>
    <w:sig w:usb0="00000000" w:usb1="00000000" w:usb2="00000010" w:usb3="00000000" w:csb0="00040000" w:csb1="00000000"/>
  </w:font>
  <w:font w:name="arial!important">
    <w:altName w:val="Times New Roman"/>
    <w:panose1 w:val="00000000000000000000"/>
    <w:charset w:val="00"/>
    <w:family w:val="decorative"/>
    <w:pitch w:val="default"/>
    <w:sig w:usb0="00000000" w:usb1="00000000" w:usb2="00000000" w:usb3="00000000" w:csb0="00000000" w:csb1="00000000"/>
  </w:font>
  <w:font w:name="方正仿宋_GBK">
    <w:altName w:val="宋体"/>
    <w:panose1 w:val="00000000000000000000"/>
    <w:charset w:val="86"/>
    <w:family w:val="swiss"/>
    <w:pitch w:val="default"/>
    <w:sig w:usb0="00000000" w:usb1="00000000" w:usb2="00000010" w:usb3="00000000" w:csb0="00040000" w:csb1="00000000"/>
  </w:font>
  <w:font w:name="arial!important">
    <w:altName w:val="Times New Roman"/>
    <w:panose1 w:val="00000000000000000000"/>
    <w:charset w:val="00"/>
    <w:family w:val="roman"/>
    <w:pitch w:val="default"/>
    <w:sig w:usb0="00000000" w:usb1="00000000" w:usb2="00000000" w:usb3="00000000" w:csb0="00000000" w:csb1="00000000"/>
  </w:font>
  <w:font w:name="方正仿宋_GBK">
    <w:altName w:val="宋体"/>
    <w:panose1 w:val="00000000000000000000"/>
    <w:charset w:val="86"/>
    <w:family w:val="decorative"/>
    <w:pitch w:val="default"/>
    <w:sig w:usb0="00000000" w:usb1="00000000" w:usb2="00000010" w:usb3="00000000" w:csb0="00040000" w:csb1="00000000"/>
  </w:font>
  <w:font w:name="arial!important">
    <w:altName w:val="Times New Roman"/>
    <w:panose1 w:val="00000000000000000000"/>
    <w:charset w:val="00"/>
    <w:family w:val="modern"/>
    <w:pitch w:val="default"/>
    <w:sig w:usb0="00000000" w:usb1="00000000" w:usb2="00000000" w:usb3="00000000" w:csb0="00000000" w:csb1="00000000"/>
  </w:font>
  <w:font w:name="arial!important">
    <w:altName w:val="Times New Roman"/>
    <w:panose1 w:val="00000000000000000000"/>
    <w:charset w:val="00"/>
    <w:family w:val="swiss"/>
    <w:pitch w:val="default"/>
    <w:sig w:usb0="00000000" w:usb1="00000000" w:usb2="00000000" w:usb3="00000000" w:csb0="00000000" w:csb1="00000000"/>
  </w:font>
  <w:font w:name="方正黑体_GBK">
    <w:altName w:val="宋体"/>
    <w:panose1 w:val="00000000000000000000"/>
    <w:charset w:val="86"/>
    <w:family w:val="swiss"/>
    <w:pitch w:val="default"/>
    <w:sig w:usb0="00000000" w:usb1="00000000" w:usb2="00000010" w:usb3="00000000" w:csb0="00040000" w:csb1="00000000"/>
  </w:font>
  <w:font w:name="方正黑体_GBK">
    <w:altName w:val="宋体"/>
    <w:panose1 w:val="00000000000000000000"/>
    <w:charset w:val="86"/>
    <w:family w:val="decorative"/>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Adobe 宋体 Std L">
    <w:altName w:val="宋体"/>
    <w:panose1 w:val="00000000000000000000"/>
    <w:charset w:val="86"/>
    <w:family w:val="modern"/>
    <w:pitch w:val="default"/>
    <w:sig w:usb0="00000000" w:usb1="00000000" w:usb2="00000016" w:usb3="00000000" w:csb0="00060007" w:csb1="00000000"/>
  </w:font>
  <w:font w:name="黑体..槠..">
    <w:altName w:val="黑体"/>
    <w:panose1 w:val="00000000000000000000"/>
    <w:charset w:val="86"/>
    <w:family w:val="decorative"/>
    <w:pitch w:val="default"/>
    <w:sig w:usb0="00000000" w:usb1="00000000" w:usb2="00000010" w:usb3="00000000" w:csb0="00040000" w:csb1="00000000"/>
  </w:font>
  <w:font w:name="黑体 (TT) Regular">
    <w:altName w:val="黑体"/>
    <w:panose1 w:val="00000000000000000000"/>
    <w:charset w:val="86"/>
    <w:family w:val="auto"/>
    <w:pitch w:val="default"/>
    <w:sig w:usb0="00000000" w:usb1="00000000" w:usb2="00000010" w:usb3="00000000" w:csb0="00040000" w:csb1="00000000"/>
  </w:font>
  <w:font w:name="汉仪中等线简">
    <w:altName w:val="宋体"/>
    <w:panose1 w:val="00000000000000000000"/>
    <w:charset w:val="86"/>
    <w:family w:val="swiss"/>
    <w:pitch w:val="default"/>
    <w:sig w:usb0="00000000" w:usb1="00000000" w:usb2="00000012" w:usb3="00000000" w:csb0="00040000" w:csb1="00000000"/>
  </w:font>
  <w:font w:name="Adobe 宋体 Std L">
    <w:altName w:val="宋体"/>
    <w:panose1 w:val="00000000000000000000"/>
    <w:charset w:val="86"/>
    <w:family w:val="swiss"/>
    <w:pitch w:val="default"/>
    <w:sig w:usb0="00000000" w:usb1="00000000" w:usb2="00000016" w:usb3="00000000" w:csb0="00060007" w:csb1="00000000"/>
  </w:font>
  <w:font w:name="黑体..槠..">
    <w:altName w:val="黑体"/>
    <w:panose1 w:val="00000000000000000000"/>
    <w:charset w:val="86"/>
    <w:family w:val="roman"/>
    <w:pitch w:val="default"/>
    <w:sig w:usb0="00000000" w:usb1="00000000" w:usb2="00000010" w:usb3="00000000" w:csb0="00040000" w:csb1="00000000"/>
  </w:font>
  <w:font w:name="汉仪中等线简">
    <w:altName w:val="宋体"/>
    <w:panose1 w:val="00000000000000000000"/>
    <w:charset w:val="86"/>
    <w:family w:val="decorative"/>
    <w:pitch w:val="default"/>
    <w:sig w:usb0="00000000" w:usb1="00000000" w:usb2="00000012" w:usb3="00000000" w:csb0="00040000" w:csb1="00000000"/>
  </w:font>
  <w:font w:name="Adobe 宋体 Std L">
    <w:altName w:val="宋体"/>
    <w:panose1 w:val="00000000000000000000"/>
    <w:charset w:val="86"/>
    <w:family w:val="decorative"/>
    <w:pitch w:val="default"/>
    <w:sig w:usb0="00000000" w:usb1="00000000" w:usb2="00000016" w:usb3="00000000" w:csb0="00060007" w:csb1="00000000"/>
  </w:font>
  <w:font w:name="黑体..槠..">
    <w:altName w:val="黑体"/>
    <w:panose1 w:val="00000000000000000000"/>
    <w:charset w:val="86"/>
    <w:family w:val="modern"/>
    <w:pitch w:val="default"/>
    <w:sig w:usb0="00000000" w:usb1="00000000" w:usb2="00000010" w:usb3="00000000" w:csb0="00040000" w:csb1="00000000"/>
  </w:font>
  <w:font w:name="汉仪中等线简">
    <w:altName w:val="宋体"/>
    <w:panose1 w:val="00000000000000000000"/>
    <w:charset w:val="86"/>
    <w:family w:val="roman"/>
    <w:pitch w:val="default"/>
    <w:sig w:usb0="00000000" w:usb1="00000000" w:usb2="00000012"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黑体..槠..">
    <w:altName w:val="黑体"/>
    <w:panose1 w:val="00000000000000000000"/>
    <w:charset w:val="86"/>
    <w:family w:val="swiss"/>
    <w:pitch w:val="default"/>
    <w:sig w:usb0="00000000" w:usb1="00000000" w:usb2="00000010" w:usb3="00000000" w:csb0="00040000" w:csb1="00000000"/>
  </w:font>
  <w:font w:name="汉仪中等线简">
    <w:altName w:val="宋体"/>
    <w:panose1 w:val="00000000000000000000"/>
    <w:charset w:val="86"/>
    <w:family w:val="modern"/>
    <w:pitch w:val="default"/>
    <w:sig w:usb0="00000000" w:usb1="00000000" w:usb2="00000012"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Arial Unicode MS">
    <w:panose1 w:val="020B0604020202020204"/>
    <w:charset w:val="86"/>
    <w:family w:val="script"/>
    <w:pitch w:val="default"/>
    <w:sig w:usb0="FFFFFFFF" w:usb1="E9FFFFFF" w:usb2="0000003F" w:usb3="00000000" w:csb0="603F01FF" w:csb1="FFFF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1A679F4"/>
    <w:rsid w:val="02117DF2"/>
    <w:rsid w:val="02B961CD"/>
    <w:rsid w:val="02BE378E"/>
    <w:rsid w:val="05A74216"/>
    <w:rsid w:val="064F4A51"/>
    <w:rsid w:val="07C65866"/>
    <w:rsid w:val="082D2FE6"/>
    <w:rsid w:val="08B927DF"/>
    <w:rsid w:val="0C7E676A"/>
    <w:rsid w:val="0CF57065"/>
    <w:rsid w:val="109A1AAE"/>
    <w:rsid w:val="113C7F55"/>
    <w:rsid w:val="125F0407"/>
    <w:rsid w:val="15F55695"/>
    <w:rsid w:val="1600524F"/>
    <w:rsid w:val="18C56BD4"/>
    <w:rsid w:val="18ED3174"/>
    <w:rsid w:val="1AE56F0A"/>
    <w:rsid w:val="1C171C7E"/>
    <w:rsid w:val="1CA742CC"/>
    <w:rsid w:val="1FBB33BA"/>
    <w:rsid w:val="2008481B"/>
    <w:rsid w:val="230B3116"/>
    <w:rsid w:val="25411A4F"/>
    <w:rsid w:val="26441FC5"/>
    <w:rsid w:val="280542B6"/>
    <w:rsid w:val="2A450458"/>
    <w:rsid w:val="2A781B3D"/>
    <w:rsid w:val="2C584152"/>
    <w:rsid w:val="2E2A546B"/>
    <w:rsid w:val="2EA42437"/>
    <w:rsid w:val="2ED80281"/>
    <w:rsid w:val="2FE636E0"/>
    <w:rsid w:val="3000653C"/>
    <w:rsid w:val="33E70A4A"/>
    <w:rsid w:val="34332832"/>
    <w:rsid w:val="343745C3"/>
    <w:rsid w:val="34B06E3C"/>
    <w:rsid w:val="35791FA4"/>
    <w:rsid w:val="37C83693"/>
    <w:rsid w:val="38C52C46"/>
    <w:rsid w:val="3983796A"/>
    <w:rsid w:val="3A447ACA"/>
    <w:rsid w:val="3B510E9C"/>
    <w:rsid w:val="3BC21D62"/>
    <w:rsid w:val="3D485319"/>
    <w:rsid w:val="3E833C64"/>
    <w:rsid w:val="3F4B6802"/>
    <w:rsid w:val="3F5F7F07"/>
    <w:rsid w:val="40192BB8"/>
    <w:rsid w:val="40280456"/>
    <w:rsid w:val="42004FD7"/>
    <w:rsid w:val="431A5637"/>
    <w:rsid w:val="43580A8C"/>
    <w:rsid w:val="44965F15"/>
    <w:rsid w:val="45DD3D90"/>
    <w:rsid w:val="484F022F"/>
    <w:rsid w:val="49225076"/>
    <w:rsid w:val="4B4E2F8F"/>
    <w:rsid w:val="4B7A0024"/>
    <w:rsid w:val="4F056B4E"/>
    <w:rsid w:val="539158DE"/>
    <w:rsid w:val="541F3C4E"/>
    <w:rsid w:val="548F67FE"/>
    <w:rsid w:val="54CA432C"/>
    <w:rsid w:val="56555E2E"/>
    <w:rsid w:val="573A4491"/>
    <w:rsid w:val="58674AE7"/>
    <w:rsid w:val="58F043A2"/>
    <w:rsid w:val="59683B4C"/>
    <w:rsid w:val="5AD8583B"/>
    <w:rsid w:val="5CE86C24"/>
    <w:rsid w:val="5D1F25DB"/>
    <w:rsid w:val="5D8D53D9"/>
    <w:rsid w:val="5DED6128"/>
    <w:rsid w:val="5EC83355"/>
    <w:rsid w:val="5FE84C69"/>
    <w:rsid w:val="60672FB9"/>
    <w:rsid w:val="61526439"/>
    <w:rsid w:val="63320ECD"/>
    <w:rsid w:val="64807B05"/>
    <w:rsid w:val="64AA7BD5"/>
    <w:rsid w:val="66A314AA"/>
    <w:rsid w:val="67311DA8"/>
    <w:rsid w:val="6A740CBD"/>
    <w:rsid w:val="6C041C46"/>
    <w:rsid w:val="6C363F3A"/>
    <w:rsid w:val="6C606ADC"/>
    <w:rsid w:val="6C7A24F1"/>
    <w:rsid w:val="6E16292A"/>
    <w:rsid w:val="6F270418"/>
    <w:rsid w:val="7008684D"/>
    <w:rsid w:val="730303A6"/>
    <w:rsid w:val="742508E7"/>
    <w:rsid w:val="74275990"/>
    <w:rsid w:val="75FA729D"/>
    <w:rsid w:val="77554D41"/>
    <w:rsid w:val="776C5F20"/>
    <w:rsid w:val="79C3609E"/>
    <w:rsid w:val="7B2127B7"/>
    <w:rsid w:val="7B29241E"/>
    <w:rsid w:val="7C5C1516"/>
    <w:rsid w:val="7C7001B6"/>
    <w:rsid w:val="7D0C38B8"/>
    <w:rsid w:val="7D59465A"/>
    <w:rsid w:val="7D635C3B"/>
    <w:rsid w:val="7D6F7BA8"/>
    <w:rsid w:val="7E086FD3"/>
    <w:rsid w:val="7E51752F"/>
    <w:rsid w:val="7ED624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HP</cp:lastModifiedBy>
  <cp:lastPrinted>2020-02-10T03:28:23Z</cp:lastPrinted>
  <dcterms:modified xsi:type="dcterms:W3CDTF">2020-02-10T06:02:43Z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