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 xml:space="preserve"> 海盐县2019年政府性基金收入预算</w:t>
      </w:r>
    </w:p>
    <w:p>
      <w:pPr>
        <w:autoSpaceDE w:val="0"/>
        <w:autoSpaceDN w:val="0"/>
        <w:adjustRightInd w:val="0"/>
        <w:spacing w:line="580" w:lineRule="exact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  <w:gridCol w:w="1296"/>
        <w:gridCol w:w="1494"/>
        <w:gridCol w:w="2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 入 项 目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2019年        预算数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2018年预计           执行数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一、当年地方安排预算收入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683232 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811660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84.2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（一）国有土地使用权出让金收入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612000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710000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86.2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（二）国有土地收益基金收入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15000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（三）农业土地开发资金收入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1600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137.5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（四）彩票公益金收入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360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（五）城市基础设施配套费收入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4200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71.4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（六）污水处理费收入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8500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141.2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（七）其他政府性基金收入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38672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72000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53.7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二、转移性收入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1226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21106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5.8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（一）上级补助收入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2983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26.8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（二）上年结余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426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18123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（三）调入资金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（四）债务转贷收入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收入合计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684458 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869766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78.7 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A5"/>
    <w:rsid w:val="008176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2019-02-02T02:18:38Z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