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7" w:beforeLines="50" w:after="28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海盐县城区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公办小学、初中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施教区划分方案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一、小学施教区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lang w:val="en-US" w:eastAsia="zh-CN"/>
        </w:rPr>
        <w:t>（一）向阳小学朝阳校区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盐嘉塘以北、勤俭路以东、西城河以西、文昌路以南的居民区；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盐嘉塘以北、西城河以东、新桥路以西的居民区；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盐嘉塘以南、勤俭路以东、朝阳路以北、南城河以西的居民区；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海滨路以南、南城河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  <w:t>以东、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梅园路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  <w:t>以东、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秦山路以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  <w:t>北</w:t>
      </w: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  <w:t>的居民区。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 w:val="0"/>
          <w:spacing w:val="0"/>
          <w:sz w:val="32"/>
          <w:szCs w:val="32"/>
          <w:u w:val="none"/>
          <w:lang w:val="en-US" w:eastAsia="zh-CN"/>
        </w:rPr>
        <w:t>向阳小学北片校区（望海校区和海沙校区）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1.团结港以东、东西大道以南、海兴路以北的武原街道居民区;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2.古荡河以北、团结港以西、东西大道以南的居民区；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3.盐于公路以北、东西大道以西的武原街道、望海街道（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eastAsia="zh-CN"/>
        </w:rPr>
        <w:t>北荡社区、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新街社区、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eastAsia="zh-CN"/>
        </w:rPr>
        <w:t>南洋村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eastAsia="zh-CN"/>
        </w:rPr>
        <w:t>双桥村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）居民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两校区同步招生，根据招生计划和符合条件的报名人数，按就近原则实施校际间统筹。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val="en-US" w:eastAsia="zh-CN"/>
        </w:rPr>
        <w:t>（三）实验小学教育集团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海盐塘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以南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的武原街道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.海盐塘以北、富水路以东、朝阳路以南、城南河-梅园路-秦山路以西的居民区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盐嘉塘以南、勤俭路以西、武通港以东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、朝阳路以北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的居民区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val="en-US" w:eastAsia="zh-CN"/>
        </w:rPr>
        <w:t>（四）天宁小学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东西大道以东、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城北路以北、长安路以西、海兴路以南，团结港-古荡河以西的居民区；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东西大道以东、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城北路以南、盐嘉塘以北、勤俭路以西的居民区；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盐嘉塘以南、朝阳路以北、武通港以西的居民区；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朝阳路以南、富水路以西、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海盐塘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以北的居民区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5.盐于公路以南、东西大道以西、海盐塘以北的武原街道居民区。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val="en-US" w:eastAsia="zh-CN"/>
        </w:rPr>
        <w:t>（五）三毛小学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城北路以北、长安路以东、海兴路以南的居民区；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城北路以南、勤俭路以东、文昌路—西城河以北、新桥路以西的居民区；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新桥路以东、城北路以南、海滨路以北的居民区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lang w:eastAsia="zh-CN"/>
        </w:rPr>
        <w:t>二、初中施教区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  <w:t>）武原中学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盐嘉塘以南的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武原街道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盐嘉塘以北、勤俭路以东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城北路以南的居民区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</w:rPr>
        <w:t>）实验中学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城北路以北的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武原街道、望海街道（北荡社区、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新街社区、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南洋村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双桥村）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居民区；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盐嘉塘以北、勤俭路以西、城北路以南的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武原街道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</w:rPr>
        <w:t>居民区</w:t>
      </w: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  <w:t>实验中学实行一校两区同步招生，根据符合条件报名人数按就近原则实施校际间统筹（老校区不超过6个班）。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 w:val="0"/>
          <w:color w:val="auto"/>
          <w:spacing w:val="0"/>
          <w:sz w:val="32"/>
          <w:szCs w:val="32"/>
          <w:lang w:val="en-US" w:eastAsia="zh-CN"/>
        </w:rPr>
        <w:t xml:space="preserve"> （三）博才中学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lang w:val="en-US" w:eastAsia="zh-CN"/>
        </w:rPr>
        <w:t>根据2022年12月20日发布的《关于调整海盐县博才中学招生办法的公告》，博才中学实行大学区招生，学区范围为武原中学和实验中学施教区。</w:t>
      </w:r>
    </w:p>
    <w:p/>
    <w:sectPr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0F08"/>
    <w:rsid w:val="070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2023-05-10T09:17:00Z</dcterms:created>
  <dc:creator>岚风</dc:creator>
  <cp:lastModifiedBy>岚风</cp:lastModifiedBy>
  <dcterms:modified xsi:type="dcterms:W3CDTF">2023-05-10T09:22:44Z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3BA8B916E0E34D2490B8B31C73EB4B3E</vt:lpwstr>
  </property>
</Properties>
</file>