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jc w:val="center"/>
        <w:rPr>
          <w:rFonts w:ascii="宋体" w:hAnsi="宋体" w:cs="宋体"/>
          <w:b/>
          <w:bCs/>
          <w:color w:val="000000"/>
          <w:kern w:val="0"/>
          <w:sz w:val="36"/>
          <w:szCs w:val="36"/>
        </w:rPr>
      </w:pPr>
      <w:r>
        <w:rPr>
          <w:rFonts w:hint="eastAsia" w:ascii="宋体" w:hAnsi="宋体" w:cs="宋体"/>
          <w:b/>
          <w:bCs/>
          <w:color w:val="000000"/>
          <w:kern w:val="0"/>
          <w:sz w:val="36"/>
          <w:szCs w:val="36"/>
        </w:rPr>
        <w:t>海盐县经济和信息化局</w:t>
      </w:r>
    </w:p>
    <w:p>
      <w:pPr>
        <w:widowControl/>
        <w:spacing w:line="432" w:lineRule="atLeast"/>
        <w:jc w:val="center"/>
        <w:rPr>
          <w:rFonts w:ascii="宋体" w:hAnsi="宋体" w:cs="宋体"/>
          <w:color w:val="000000"/>
          <w:kern w:val="0"/>
          <w:sz w:val="24"/>
        </w:rPr>
      </w:pPr>
      <w:r>
        <w:rPr>
          <w:rFonts w:hint="eastAsia" w:ascii="宋体" w:hAnsi="宋体" w:cs="宋体"/>
          <w:b/>
          <w:bCs/>
          <w:color w:val="000000"/>
          <w:kern w:val="0"/>
          <w:sz w:val="36"/>
          <w:szCs w:val="36"/>
        </w:rPr>
        <w:t>2019年度政府信息公开工作年度报告</w:t>
      </w:r>
    </w:p>
    <w:p>
      <w:pPr>
        <w:widowControl/>
        <w:spacing w:line="520" w:lineRule="exact"/>
        <w:ind w:firstLine="480"/>
        <w:rPr>
          <w:rFonts w:ascii="宋体" w:hAnsi="宋体" w:cs="宋体"/>
          <w:b/>
          <w:bCs/>
          <w:color w:val="000000"/>
          <w:kern w:val="0"/>
          <w:sz w:val="24"/>
        </w:rPr>
      </w:pPr>
    </w:p>
    <w:p>
      <w:pPr>
        <w:widowControl/>
        <w:spacing w:line="520" w:lineRule="exact"/>
        <w:ind w:firstLine="480"/>
        <w:rPr>
          <w:rFonts w:ascii="宋体" w:hAnsi="宋体" w:cs="宋体"/>
          <w:color w:val="000000"/>
          <w:kern w:val="0"/>
          <w:sz w:val="24"/>
        </w:rPr>
      </w:pPr>
      <w:r>
        <w:rPr>
          <w:rFonts w:hint="eastAsia" w:ascii="宋体" w:hAnsi="宋体" w:cs="宋体"/>
          <w:b/>
          <w:bCs/>
          <w:color w:val="000000"/>
          <w:kern w:val="0"/>
          <w:sz w:val="24"/>
        </w:rPr>
        <w:t>一、总体情况</w:t>
      </w:r>
    </w:p>
    <w:p>
      <w:pPr>
        <w:spacing w:line="520" w:lineRule="exact"/>
        <w:ind w:firstLine="480" w:firstLineChars="200"/>
        <w:rPr>
          <w:sz w:val="24"/>
        </w:rPr>
      </w:pPr>
      <w:r>
        <w:rPr>
          <w:rFonts w:hint="eastAsia"/>
          <w:sz w:val="24"/>
        </w:rPr>
        <w:t>本年报是根据《中华人民共和国政府信息公开条例》（以下简称《条例》）要求，由海盐县经济和信息化局编制。本报告包括概述、主动公开政府信息情况、依申请公开政府信息情况、不予公开政府信息情况、行政复议和行政申诉情况、政府信息公开的收支情况、存在的主要问题和改进措施，其他需要说明的事项及附表。本报告中所列数据的统计期限自2019年1月1日起至2019年12月31日止。如对本报告有疑问的，可与海盐县经济和信息化局联系（联系电话：86124625，联系地址：海盐县武原街道城北东路98号）。</w:t>
      </w:r>
    </w:p>
    <w:p>
      <w:pPr>
        <w:spacing w:line="520" w:lineRule="exact"/>
        <w:rPr>
          <w:rFonts w:ascii="宋体" w:hAnsi="宋体" w:eastAsia="宋体"/>
          <w:sz w:val="24"/>
        </w:rPr>
      </w:pPr>
      <w:r>
        <w:rPr>
          <w:rFonts w:hint="eastAsia"/>
        </w:rPr>
        <w:t xml:space="preserve">     </w:t>
      </w:r>
      <w:r>
        <w:rPr>
          <w:rFonts w:hint="eastAsia" w:ascii="宋体" w:hAnsi="宋体" w:eastAsia="宋体"/>
          <w:sz w:val="24"/>
        </w:rPr>
        <w:t>2019年，我局认真贯彻落实《条例》和海盐县2019年政务公开重点工作责任分解》（盐政办发〔2019〕48号）等相关文件精神，围绕着眼稳定预期，加强政策解读和回应群众关切，强化权力监督，深入推进决策和执行公开，强化体制机制保障的工作要求，深入解读重要政策，提升解读回应效果，积极回应社会关切，推进重要决策公开，加强组织领导，提升制度化水平并做好相关基础工作，扎实推进政府信息公开工作深入开展。主要工作开展如下：</w:t>
      </w:r>
    </w:p>
    <w:p>
      <w:pPr>
        <w:spacing w:line="520" w:lineRule="exact"/>
        <w:ind w:firstLine="480" w:firstLineChars="200"/>
        <w:rPr>
          <w:rFonts w:ascii="宋体" w:hAnsi="宋体" w:eastAsia="宋体"/>
          <w:sz w:val="24"/>
        </w:rPr>
      </w:pPr>
      <w:r>
        <w:rPr>
          <w:rFonts w:hint="eastAsia" w:ascii="宋体" w:hAnsi="宋体" w:eastAsia="宋体"/>
          <w:sz w:val="24"/>
        </w:rPr>
        <w:t>(一）强化机制保障，加强信息公开审查。我局严格执行在文件拟稿时由文件拟稿人确定信息公开的性质——科室负责人初审——分管领导把关——若有意见可商议决定——最终决定权由签发人行使的信息公开审核检查制度，明确了我局处理依申请公开政府信息流程图，认真做好信息公开台帐工作，规范日常管理，强化长效管理机制。及时规范公开信息，确保公开信息的及时性和规范性。   </w:t>
      </w:r>
    </w:p>
    <w:p>
      <w:pPr>
        <w:spacing w:line="520" w:lineRule="exact"/>
        <w:ind w:firstLine="360" w:firstLineChars="150"/>
        <w:rPr>
          <w:rFonts w:ascii="宋体" w:hAnsi="宋体" w:eastAsia="宋体"/>
          <w:sz w:val="24"/>
        </w:rPr>
      </w:pPr>
      <w:r>
        <w:rPr>
          <w:rFonts w:hint="eastAsia" w:ascii="宋体" w:hAnsi="宋体" w:eastAsia="宋体"/>
          <w:sz w:val="24"/>
        </w:rPr>
        <w:t>（二）突出重点，及时主动公开。开设了企业服务直通车专窗及网站后我局派专人负责“企业服务直通车”工作办理及网站维护，畅通企业获取政策信息和反映诉求的渠道。本局紧紧把握住提升解读回应效果、推进重要决策公开作为主动公开的重点内容，尽力做到应该公开的信息不滞后，零延迟。</w:t>
      </w:r>
    </w:p>
    <w:p>
      <w:pPr>
        <w:spacing w:line="520" w:lineRule="exact"/>
        <w:ind w:firstLine="360" w:firstLineChars="150"/>
        <w:rPr>
          <w:rFonts w:ascii="宋体" w:hAnsi="宋体" w:eastAsia="宋体"/>
          <w:sz w:val="24"/>
        </w:rPr>
      </w:pPr>
      <w:r>
        <w:rPr>
          <w:rFonts w:hint="eastAsia" w:ascii="宋体" w:hAnsi="宋体" w:eastAsia="宋体"/>
          <w:sz w:val="24"/>
        </w:rPr>
        <w:t>（三）政府信息公开载体建设进一步完善。通过 “中国海盐”门户网站政府信息公开专栏经信局局版块、企业服务直通车、微信等多方位、全角度地进行信息公开工作。</w:t>
      </w:r>
    </w:p>
    <w:p>
      <w:pPr>
        <w:spacing w:line="520" w:lineRule="exact"/>
        <w:ind w:firstLine="360" w:firstLineChars="150"/>
        <w:rPr>
          <w:rFonts w:ascii="宋体" w:hAnsi="宋体" w:eastAsia="宋体"/>
          <w:sz w:val="24"/>
        </w:rPr>
      </w:pPr>
      <w:r>
        <w:rPr>
          <w:rFonts w:hint="eastAsia" w:ascii="宋体" w:hAnsi="宋体" w:eastAsia="宋体"/>
          <w:sz w:val="24"/>
        </w:rPr>
        <w:t xml:space="preserve"> 2019年度我局在海盐门户网公开信息共计91条（其中工作信息52条、政策文件24条、计划总结1条、人事信息4条、机构信息6条、财政信息4条），在微信公众号公开信息共计58条，企业服务直通车平台公开信息42条，依申请公开为0件。</w:t>
      </w:r>
    </w:p>
    <w:p>
      <w:pPr>
        <w:widowControl/>
        <w:spacing w:line="520" w:lineRule="exact"/>
        <w:ind w:firstLine="480"/>
        <w:rPr>
          <w:rFonts w:ascii="宋体" w:hAnsi="宋体" w:cs="宋体"/>
          <w:color w:val="000000"/>
          <w:kern w:val="0"/>
          <w:sz w:val="24"/>
        </w:rPr>
      </w:pPr>
      <w:r>
        <w:rPr>
          <w:rFonts w:hint="eastAsia" w:ascii="宋体" w:hAnsi="宋体" w:cs="宋体"/>
          <w:b/>
          <w:bCs/>
          <w:color w:val="000000"/>
          <w:kern w:val="0"/>
          <w:sz w:val="24"/>
        </w:rPr>
        <w:t>二、主动公开政府信息情况</w:t>
      </w:r>
    </w:p>
    <w:tbl>
      <w:tblPr>
        <w:tblStyle w:val="7"/>
        <w:tblW w:w="8140" w:type="dxa"/>
        <w:jc w:val="center"/>
        <w:tblLayout w:type="fixed"/>
        <w:tblCellMar>
          <w:top w:w="0" w:type="dxa"/>
          <w:left w:w="0" w:type="dxa"/>
          <w:bottom w:w="0" w:type="dxa"/>
          <w:right w:w="0" w:type="dxa"/>
        </w:tblCellMar>
      </w:tblPr>
      <w:tblGrid>
        <w:gridCol w:w="3113"/>
        <w:gridCol w:w="1886"/>
        <w:gridCol w:w="1260"/>
        <w:gridCol w:w="1881"/>
      </w:tblGrid>
      <w:tr>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第二十条第（一）项</w:t>
            </w:r>
          </w:p>
        </w:tc>
      </w:tr>
      <w:tr>
        <w:trPr>
          <w:trHeight w:val="55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制作数量</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color w:val="000000"/>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对外公开总数量</w:t>
            </w:r>
          </w:p>
        </w:tc>
      </w:tr>
      <w:tr>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规章</w:t>
            </w:r>
          </w:p>
        </w:tc>
        <w:tc>
          <w:tcPr>
            <w:tcW w:w="18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规范性文件</w:t>
            </w:r>
          </w:p>
        </w:tc>
        <w:tc>
          <w:tcPr>
            <w:tcW w:w="18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1</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1</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cstheme="minorHAnsi"/>
                <w:color w:val="000000"/>
                <w:kern w:val="0"/>
                <w:sz w:val="24"/>
                <w:lang w:eastAsia="zh"/>
              </w:rPr>
            </w:pPr>
            <w:r>
              <w:rPr>
                <w:rFonts w:hint="eastAsia" w:cstheme="minorHAnsi"/>
                <w:color w:val="000000"/>
                <w:kern w:val="0"/>
                <w:sz w:val="20"/>
                <w:szCs w:val="20"/>
                <w:lang w:val="en-US" w:eastAsia="zh"/>
              </w:rPr>
              <w:t>5</w:t>
            </w:r>
            <w:bookmarkStart w:id="0" w:name="_GoBack"/>
            <w:bookmarkEnd w:id="0"/>
          </w:p>
        </w:tc>
      </w:tr>
      <w:tr>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第二十条第（五）项</w:t>
            </w:r>
          </w:p>
        </w:tc>
      </w:tr>
      <w:tr>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rPr>
          <w:trHeight w:val="528"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行政许可</w:t>
            </w:r>
          </w:p>
        </w:tc>
        <w:tc>
          <w:tcPr>
            <w:tcW w:w="1886" w:type="dxa"/>
            <w:tcBorders>
              <w:top w:val="nil"/>
              <w:left w:val="nil"/>
              <w:bottom w:val="single" w:color="auto" w:sz="8" w:space="0"/>
              <w:right w:val="single" w:color="auto" w:sz="8" w:space="0"/>
            </w:tcBorders>
            <w:vAlign w:val="center"/>
          </w:tcPr>
          <w:p>
            <w:pPr>
              <w:widowControl/>
              <w:jc w:val="center"/>
              <w:rPr>
                <w:rFonts w:cstheme="minorHAnsi"/>
                <w:color w:val="000000"/>
                <w:kern w:val="0"/>
                <w:sz w:val="20"/>
                <w:szCs w:val="20"/>
                <w:highlight w:val="none"/>
              </w:rPr>
            </w:pPr>
            <w:r>
              <w:rPr>
                <w:rFonts w:hint="eastAsia" w:cs="Calibri"/>
                <w:color w:val="000000"/>
                <w:kern w:val="0"/>
                <w:sz w:val="20"/>
                <w:szCs w:val="20"/>
                <w:highlight w:val="none"/>
                <w:lang w:val="en-US" w:eastAsia="zh-CN"/>
              </w:rPr>
              <w:t>39</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0"/>
                <w:szCs w:val="20"/>
                <w:highlight w:val="none"/>
              </w:rPr>
            </w:pPr>
            <w:r>
              <w:rPr>
                <w:rFonts w:hint="eastAsia" w:cs="Calibri"/>
                <w:color w:val="000000"/>
                <w:kern w:val="0"/>
                <w:sz w:val="20"/>
                <w:szCs w:val="20"/>
                <w:highlight w:val="none"/>
                <w:lang w:val="en-US" w:eastAsia="zh-CN"/>
              </w:rPr>
              <w:t>30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0"/>
                <w:szCs w:val="20"/>
                <w:highlight w:val="none"/>
              </w:rPr>
            </w:pPr>
            <w:r>
              <w:rPr>
                <w:rFonts w:hint="eastAsia" w:cs="Calibri"/>
                <w:color w:val="000000"/>
                <w:kern w:val="0"/>
                <w:sz w:val="20"/>
                <w:szCs w:val="20"/>
                <w:highlight w:val="none"/>
                <w:lang w:val="en-US" w:eastAsia="zh-CN"/>
              </w:rPr>
              <w:t>69</w:t>
            </w:r>
          </w:p>
        </w:tc>
      </w:tr>
      <w:tr>
        <w:trPr>
          <w:trHeight w:val="55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其他对外管理服务事项</w:t>
            </w:r>
          </w:p>
        </w:tc>
        <w:tc>
          <w:tcPr>
            <w:tcW w:w="1886" w:type="dxa"/>
            <w:tcBorders>
              <w:top w:val="nil"/>
              <w:left w:val="nil"/>
              <w:bottom w:val="single" w:color="auto" w:sz="8" w:space="0"/>
              <w:right w:val="single" w:color="auto" w:sz="8" w:space="0"/>
            </w:tcBorders>
            <w:vAlign w:val="center"/>
          </w:tcPr>
          <w:p>
            <w:pPr>
              <w:widowControl/>
              <w:jc w:val="center"/>
              <w:rPr>
                <w:rFonts w:cstheme="minorHAnsi"/>
                <w:color w:val="000000"/>
                <w:kern w:val="0"/>
                <w:sz w:val="20"/>
                <w:szCs w:val="20"/>
              </w:rPr>
            </w:pPr>
            <w:r>
              <w:rPr>
                <w:rFonts w:cstheme="minorHAnsi"/>
                <w:color w:val="000000"/>
                <w:kern w:val="0"/>
                <w:sz w:val="20"/>
                <w:szCs w:val="20"/>
              </w:rPr>
              <w:t>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0"/>
                <w:szCs w:val="20"/>
              </w:rPr>
            </w:pPr>
            <w:r>
              <w:rPr>
                <w:rFonts w:cstheme="minorHAnsi"/>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0"/>
                <w:szCs w:val="20"/>
              </w:rPr>
            </w:pPr>
            <w:r>
              <w:rPr>
                <w:rFonts w:cstheme="minorHAnsi"/>
                <w:color w:val="000000"/>
                <w:kern w:val="0"/>
                <w:sz w:val="20"/>
                <w:szCs w:val="20"/>
              </w:rPr>
              <w:t>0</w:t>
            </w:r>
          </w:p>
        </w:tc>
      </w:tr>
      <w:tr>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第二十条第（六）项</w:t>
            </w:r>
          </w:p>
        </w:tc>
      </w:tr>
      <w:tr>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上一年项目数量</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处理决定数量</w:t>
            </w:r>
          </w:p>
        </w:tc>
      </w:tr>
      <w:tr>
        <w:trPr>
          <w:trHeight w:val="430"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行政处罚</w:t>
            </w:r>
          </w:p>
        </w:tc>
        <w:tc>
          <w:tcPr>
            <w:tcW w:w="1886" w:type="dxa"/>
            <w:tcBorders>
              <w:top w:val="nil"/>
              <w:left w:val="nil"/>
              <w:bottom w:val="single" w:color="auto" w:sz="8" w:space="0"/>
              <w:right w:val="single" w:color="auto" w:sz="8" w:space="0"/>
            </w:tcBorders>
            <w:vAlign w:val="center"/>
          </w:tcPr>
          <w:p>
            <w:pPr>
              <w:widowControl/>
              <w:jc w:val="center"/>
              <w:rPr>
                <w:rFonts w:cstheme="minorHAnsi"/>
                <w:color w:val="000000"/>
                <w:kern w:val="0"/>
                <w:sz w:val="24"/>
              </w:rPr>
            </w:pPr>
            <w:r>
              <w:rPr>
                <w:rFonts w:cstheme="minorHAnsi"/>
                <w:color w:val="000000"/>
                <w:kern w:val="0"/>
                <w:sz w:val="20"/>
                <w:szCs w:val="20"/>
              </w:rPr>
              <w:t>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trHeight w:val="409" w:hRule="atLeast"/>
          <w:jc w:val="center"/>
        </w:trPr>
        <w:tc>
          <w:tcPr>
            <w:tcW w:w="3113"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行政强制</w:t>
            </w:r>
          </w:p>
        </w:tc>
        <w:tc>
          <w:tcPr>
            <w:tcW w:w="1886" w:type="dxa"/>
            <w:tcBorders>
              <w:top w:val="nil"/>
              <w:left w:val="nil"/>
              <w:bottom w:val="single" w:color="auto" w:sz="8" w:space="0"/>
              <w:right w:val="single" w:color="auto" w:sz="8" w:space="0"/>
            </w:tcBorders>
            <w:vAlign w:val="center"/>
          </w:tcPr>
          <w:p>
            <w:pPr>
              <w:widowControl/>
              <w:jc w:val="center"/>
              <w:rPr>
                <w:rFonts w:cstheme="minorHAnsi"/>
                <w:color w:val="000000"/>
                <w:kern w:val="0"/>
                <w:sz w:val="24"/>
              </w:rPr>
            </w:pPr>
            <w:r>
              <w:rPr>
                <w:rFonts w:cstheme="minorHAnsi"/>
                <w:color w:val="000000"/>
                <w:kern w:val="0"/>
                <w:sz w:val="20"/>
                <w:szCs w:val="20"/>
              </w:rPr>
              <w:t>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第二十条第（八）项</w:t>
            </w:r>
          </w:p>
        </w:tc>
      </w:tr>
      <w:tr>
        <w:trPr>
          <w:trHeight w:val="59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上一年项目数量</w:t>
            </w:r>
          </w:p>
        </w:tc>
        <w:tc>
          <w:tcPr>
            <w:tcW w:w="3141"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本年增/减</w:t>
            </w:r>
          </w:p>
        </w:tc>
      </w:tr>
      <w:tr>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行政事业性收费</w:t>
            </w:r>
          </w:p>
        </w:tc>
        <w:tc>
          <w:tcPr>
            <w:tcW w:w="18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3141"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第二十条第（九）项</w:t>
            </w:r>
          </w:p>
        </w:tc>
      </w:tr>
      <w:tr>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信息内容</w:t>
            </w:r>
          </w:p>
        </w:tc>
        <w:tc>
          <w:tcPr>
            <w:tcW w:w="18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采购项目数量</w:t>
            </w:r>
          </w:p>
        </w:tc>
        <w:tc>
          <w:tcPr>
            <w:tcW w:w="3141"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采购总金额</w:t>
            </w:r>
          </w:p>
        </w:tc>
      </w:tr>
      <w:tr>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政府集中采购</w:t>
            </w:r>
          </w:p>
        </w:tc>
        <w:tc>
          <w:tcPr>
            <w:tcW w:w="18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hint="eastAsia" w:cstheme="minorHAnsi"/>
                <w:color w:val="000000"/>
                <w:kern w:val="0"/>
                <w:sz w:val="20"/>
                <w:szCs w:val="20"/>
              </w:rPr>
              <w:t>20</w:t>
            </w:r>
          </w:p>
        </w:tc>
        <w:tc>
          <w:tcPr>
            <w:tcW w:w="3141"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hint="eastAsia" w:ascii="微软雅黑" w:hAnsi="微软雅黑" w:eastAsia="微软雅黑"/>
                <w:color w:val="111F2C"/>
                <w:szCs w:val="21"/>
                <w:shd w:val="clear" w:color="auto" w:fill="FFFFFF"/>
              </w:rPr>
              <w:t>468812.31</w:t>
            </w:r>
          </w:p>
        </w:tc>
      </w:tr>
    </w:tbl>
    <w:p>
      <w:pPr>
        <w:widowControl/>
        <w:spacing w:after="240" w:line="432" w:lineRule="atLeast"/>
        <w:ind w:firstLine="480"/>
        <w:rPr>
          <w:rFonts w:ascii="宋体" w:hAnsi="宋体" w:cs="宋体"/>
          <w:color w:val="000000"/>
          <w:kern w:val="0"/>
          <w:sz w:val="24"/>
        </w:rPr>
      </w:pPr>
      <w:r>
        <w:rPr>
          <w:rFonts w:hint="eastAsia" w:ascii="宋体" w:hAnsi="宋体" w:cs="宋体"/>
          <w:b/>
          <w:bCs/>
          <w:color w:val="000000"/>
          <w:kern w:val="0"/>
          <w:sz w:val="24"/>
        </w:rPr>
        <w:t>三、收到和处理政府信息公开申请情况</w:t>
      </w:r>
    </w:p>
    <w:tbl>
      <w:tblPr>
        <w:tblStyle w:val="7"/>
        <w:tblW w:w="8395" w:type="dxa"/>
        <w:jc w:val="center"/>
        <w:tblLayout w:type="fixed"/>
        <w:tblCellMar>
          <w:top w:w="0" w:type="dxa"/>
          <w:left w:w="0" w:type="dxa"/>
          <w:bottom w:w="0" w:type="dxa"/>
          <w:right w:w="0" w:type="dxa"/>
        </w:tblCellMar>
      </w:tblPr>
      <w:tblGrid>
        <w:gridCol w:w="494"/>
        <w:gridCol w:w="855"/>
        <w:gridCol w:w="2298"/>
        <w:gridCol w:w="644"/>
        <w:gridCol w:w="672"/>
        <w:gridCol w:w="630"/>
        <w:gridCol w:w="843"/>
        <w:gridCol w:w="840"/>
        <w:gridCol w:w="587"/>
        <w:gridCol w:w="532"/>
      </w:tblGrid>
      <w:tr>
        <w:trPr>
          <w:jc w:val="center"/>
        </w:trPr>
        <w:tc>
          <w:tcPr>
            <w:tcW w:w="364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（本列数据的勾稽关系为：第一项加第二项之和，等于第三项加第四项之和）</w:t>
            </w:r>
          </w:p>
        </w:tc>
        <w:tc>
          <w:tcPr>
            <w:tcW w:w="474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rPr>
          <w:jc w:val="center"/>
        </w:trPr>
        <w:tc>
          <w:tcPr>
            <w:tcW w:w="364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4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357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53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rPr>
          <w:jc w:val="center"/>
        </w:trPr>
        <w:tc>
          <w:tcPr>
            <w:tcW w:w="364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4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商业企业</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科研机构</w:t>
            </w:r>
          </w:p>
        </w:tc>
        <w:tc>
          <w:tcPr>
            <w:tcW w:w="8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8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58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53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r>
      <w:tr>
        <w:trPr>
          <w:jc w:val="center"/>
        </w:trPr>
        <w:tc>
          <w:tcPr>
            <w:tcW w:w="3647"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3647"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3153" w:type="dxa"/>
            <w:gridSpan w:val="2"/>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rPr>
              <w:t>0</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3153" w:type="dxa"/>
            <w:gridSpan w:val="2"/>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rPr>
              <w:t>0</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rPr>
              <w:t>0</w:t>
            </w: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rPr>
              <w:t>0</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2.其他法律行政法规禁止公开</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3.危及“三安全一稳定”</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4.保护第三方合法权益</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5.属于三类内部事务信息</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6.属于四类过程性信息</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7.属于行政执法案卷</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8.属于行政查询事项</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（四）无法提供</w:t>
            </w: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1.本机关不掌握相关政府信息</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2.没有现成信息需要另行制作</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3.补正后申请内容仍不明确</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（五）不予处理</w:t>
            </w: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1.信访举报投诉类申请</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2.重复申请</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3.要求提供公开出版物</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4.无正当理由大量反复申请</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855"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22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5.要求行政机关确认或重新出具已获取信息</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3153"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（六）其他处理</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3153" w:type="dxa"/>
            <w:gridSpan w:val="2"/>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（七）总计</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r>
      <w:tr>
        <w:trPr>
          <w:jc w:val="center"/>
        </w:trPr>
        <w:tc>
          <w:tcPr>
            <w:tcW w:w="3647"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6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0"/>
                <w:szCs w:val="20"/>
              </w:rPr>
              <w:t>0</w:t>
            </w:r>
          </w:p>
        </w:tc>
        <w:tc>
          <w:tcPr>
            <w:tcW w:w="5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theme="minorHAnsi"/>
                <w:color w:val="000000"/>
                <w:kern w:val="0"/>
                <w:sz w:val="24"/>
              </w:rPr>
            </w:pPr>
            <w:r>
              <w:rPr>
                <w:rFonts w:cstheme="minorHAnsi"/>
                <w:color w:val="000000"/>
                <w:kern w:val="0"/>
                <w:sz w:val="24"/>
              </w:rPr>
              <w:t>0</w:t>
            </w:r>
          </w:p>
        </w:tc>
      </w:tr>
    </w:tbl>
    <w:p>
      <w:pPr>
        <w:widowControl/>
        <w:spacing w:line="560" w:lineRule="exact"/>
        <w:ind w:firstLine="482"/>
        <w:rPr>
          <w:rFonts w:ascii="宋体" w:hAnsi="宋体" w:cs="宋体"/>
          <w:b/>
          <w:bCs/>
          <w:color w:val="000000"/>
          <w:kern w:val="0"/>
          <w:sz w:val="24"/>
        </w:rPr>
      </w:pPr>
    </w:p>
    <w:p>
      <w:pPr>
        <w:widowControl/>
        <w:spacing w:line="560" w:lineRule="exact"/>
        <w:ind w:firstLine="482"/>
        <w:rPr>
          <w:rFonts w:ascii="宋体" w:hAnsi="宋体" w:cs="宋体"/>
          <w:b/>
          <w:bCs/>
          <w:color w:val="000000"/>
          <w:kern w:val="0"/>
          <w:sz w:val="24"/>
        </w:rPr>
      </w:pPr>
    </w:p>
    <w:p>
      <w:pPr>
        <w:widowControl/>
        <w:spacing w:line="560" w:lineRule="exact"/>
        <w:ind w:firstLine="482"/>
        <w:rPr>
          <w:rFonts w:ascii="宋体" w:hAnsi="宋体" w:cs="宋体"/>
          <w:color w:val="000000"/>
          <w:kern w:val="0"/>
          <w:sz w:val="24"/>
        </w:rPr>
      </w:pPr>
      <w:r>
        <w:rPr>
          <w:rFonts w:hint="eastAsia" w:ascii="宋体" w:hAnsi="宋体" w:cs="宋体"/>
          <w:b/>
          <w:bCs/>
          <w:color w:val="000000"/>
          <w:kern w:val="0"/>
          <w:sz w:val="24"/>
        </w:rPr>
        <w:t>四、行政复议、行政诉讼情况</w:t>
      </w:r>
    </w:p>
    <w:p>
      <w:pPr>
        <w:widowControl/>
        <w:spacing w:line="560" w:lineRule="exact"/>
        <w:ind w:firstLine="482"/>
        <w:rPr>
          <w:rFonts w:ascii="宋体" w:hAnsi="宋体" w:cs="宋体"/>
          <w:color w:val="000000"/>
          <w:kern w:val="0"/>
          <w:sz w:val="24"/>
        </w:rPr>
      </w:pPr>
    </w:p>
    <w:tbl>
      <w:tblPr>
        <w:tblStyle w:val="7"/>
        <w:tblW w:w="9005" w:type="dxa"/>
        <w:jc w:val="center"/>
        <w:tblLayout w:type="fixed"/>
        <w:tblCellMar>
          <w:top w:w="0" w:type="dxa"/>
          <w:left w:w="0" w:type="dxa"/>
          <w:bottom w:w="0" w:type="dxa"/>
          <w:right w:w="0" w:type="dxa"/>
        </w:tblCellMar>
      </w:tblPr>
      <w:tblGrid>
        <w:gridCol w:w="604"/>
        <w:gridCol w:w="604"/>
        <w:gridCol w:w="604"/>
        <w:gridCol w:w="604"/>
        <w:gridCol w:w="591"/>
        <w:gridCol w:w="567"/>
        <w:gridCol w:w="605"/>
        <w:gridCol w:w="605"/>
        <w:gridCol w:w="605"/>
        <w:gridCol w:w="605"/>
        <w:gridCol w:w="605"/>
        <w:gridCol w:w="605"/>
        <w:gridCol w:w="605"/>
        <w:gridCol w:w="606"/>
        <w:gridCol w:w="590"/>
      </w:tblGrid>
      <w:tr>
        <w:trPr>
          <w:jc w:val="center"/>
        </w:trPr>
        <w:tc>
          <w:tcPr>
            <w:tcW w:w="3007"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行政复议</w:t>
            </w:r>
          </w:p>
        </w:tc>
        <w:tc>
          <w:tcPr>
            <w:tcW w:w="5998"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行政诉讼</w:t>
            </w:r>
          </w:p>
        </w:tc>
      </w:tr>
      <w:tr>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59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298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未经复议直接起诉</w:t>
            </w:r>
          </w:p>
        </w:tc>
        <w:tc>
          <w:tcPr>
            <w:tcW w:w="3011"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复议后起诉</w:t>
            </w:r>
          </w:p>
        </w:tc>
      </w:tr>
      <w:tr>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91"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color w:val="000000"/>
                <w:kern w:val="0"/>
                <w:sz w:val="24"/>
              </w:rPr>
            </w:pP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尚未审结</w:t>
            </w:r>
          </w:p>
        </w:tc>
        <w:tc>
          <w:tcPr>
            <w:tcW w:w="5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color w:val="000000"/>
                <w:kern w:val="0"/>
                <w:sz w:val="24"/>
              </w:rPr>
            </w:pPr>
            <w:r>
              <w:rPr>
                <w:rFonts w:hint="eastAsia" w:ascii="Calibri" w:hAnsi="Calibri" w:cs="宋体"/>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c>
          <w:tcPr>
            <w:tcW w:w="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c>
          <w:tcPr>
            <w:tcW w:w="5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cs="宋体"/>
                <w:color w:val="000000"/>
                <w:kern w:val="0"/>
                <w:sz w:val="20"/>
                <w:szCs w:val="20"/>
              </w:rPr>
            </w:pPr>
            <w:r>
              <w:rPr>
                <w:rFonts w:hint="eastAsia" w:ascii="Calibri" w:hAnsi="Calibri" w:cs="宋体"/>
                <w:color w:val="000000"/>
                <w:kern w:val="0"/>
                <w:sz w:val="20"/>
                <w:szCs w:val="20"/>
              </w:rPr>
              <w:t>0</w:t>
            </w:r>
          </w:p>
        </w:tc>
      </w:tr>
    </w:tbl>
    <w:p>
      <w:pPr>
        <w:widowControl/>
        <w:spacing w:line="520" w:lineRule="exact"/>
        <w:jc w:val="center"/>
        <w:rPr>
          <w:rFonts w:ascii="宋体" w:hAnsi="宋体" w:cs="宋体"/>
          <w:color w:val="000000"/>
          <w:kern w:val="0"/>
          <w:sz w:val="24"/>
        </w:rPr>
      </w:pPr>
    </w:p>
    <w:p>
      <w:pPr>
        <w:widowControl/>
        <w:spacing w:line="520" w:lineRule="exact"/>
        <w:ind w:firstLine="480"/>
        <w:rPr>
          <w:rFonts w:ascii="宋体" w:hAnsi="宋体" w:cs="宋体"/>
          <w:color w:val="000000"/>
          <w:kern w:val="0"/>
          <w:sz w:val="24"/>
        </w:rPr>
      </w:pPr>
      <w:r>
        <w:rPr>
          <w:rFonts w:hint="eastAsia" w:ascii="宋体" w:hAnsi="宋体" w:cs="宋体"/>
          <w:b/>
          <w:bCs/>
          <w:color w:val="000000"/>
          <w:kern w:val="0"/>
          <w:sz w:val="24"/>
        </w:rPr>
        <w:t>五、存在的主要问题及改进情况</w:t>
      </w:r>
    </w:p>
    <w:p>
      <w:pPr>
        <w:spacing w:line="520" w:lineRule="exact"/>
        <w:ind w:firstLine="480" w:firstLineChars="200"/>
        <w:rPr>
          <w:rFonts w:ascii="宋体" w:hAnsi="宋体" w:eastAsia="宋体" w:cs="仿宋"/>
          <w:color w:val="333333"/>
          <w:kern w:val="0"/>
          <w:sz w:val="24"/>
        </w:rPr>
      </w:pPr>
      <w:r>
        <w:rPr>
          <w:rFonts w:hint="eastAsia" w:ascii="宋体" w:hAnsi="宋体" w:eastAsia="宋体" w:cs="仿宋"/>
          <w:color w:val="333333"/>
          <w:kern w:val="0"/>
          <w:sz w:val="24"/>
        </w:rPr>
        <w:t>经过一年的磨合，虽然提高了全局工作人员的公开意识，进一步加强了信息公开的建设，但是存在一定问题，如部分信息公开不及时，部分工作人员公开意识不强，公开方式过于单一等问题。</w:t>
      </w:r>
      <w:r>
        <w:rPr>
          <w:rFonts w:ascii="宋体" w:hAnsi="宋体" w:eastAsia="宋体" w:cs="仿宋"/>
          <w:color w:val="333333"/>
          <w:kern w:val="0"/>
          <w:sz w:val="24"/>
        </w:rPr>
        <w:t xml:space="preserve"> </w:t>
      </w:r>
    </w:p>
    <w:p>
      <w:pPr>
        <w:spacing w:line="520" w:lineRule="exact"/>
        <w:ind w:firstLine="480" w:firstLineChars="200"/>
        <w:rPr>
          <w:rFonts w:ascii="宋体" w:hAnsi="宋体" w:eastAsia="宋体" w:cs="仿宋"/>
          <w:color w:val="333333"/>
          <w:kern w:val="0"/>
          <w:sz w:val="24"/>
        </w:rPr>
      </w:pPr>
      <w:r>
        <w:rPr>
          <w:rFonts w:hint="eastAsia" w:ascii="宋体" w:hAnsi="宋体" w:eastAsia="宋体" w:cs="仿宋"/>
          <w:color w:val="333333"/>
          <w:kern w:val="0"/>
          <w:sz w:val="24"/>
        </w:rPr>
        <w:t>针对以上情况，我局领导决定在</w:t>
      </w:r>
      <w:r>
        <w:rPr>
          <w:rFonts w:hint="eastAsia" w:ascii="宋体" w:hAnsi="宋体" w:eastAsia="宋体"/>
          <w:color w:val="191F25"/>
          <w:sz w:val="24"/>
          <w:shd w:val="clear" w:color="auto" w:fill="FFFFFF"/>
        </w:rPr>
        <w:t>政务信息和宣传工作考核办法中加大对政府信息公开信息报送的考核</w:t>
      </w:r>
      <w:r>
        <w:rPr>
          <w:rFonts w:hint="eastAsia" w:ascii="宋体" w:hAnsi="宋体" w:eastAsia="宋体" w:cs="仿宋"/>
          <w:color w:val="333333"/>
          <w:kern w:val="0"/>
          <w:sz w:val="24"/>
        </w:rPr>
        <w:t>，将进一步完善公开考核机制，责任到人，加强文件及时准确公开的制度性保障。</w:t>
      </w:r>
      <w:r>
        <w:rPr>
          <w:rFonts w:hint="eastAsia" w:ascii="宋体" w:hAnsi="宋体" w:eastAsia="宋体" w:cs="仿宋"/>
          <w:color w:val="333333"/>
          <w:sz w:val="24"/>
        </w:rPr>
        <w:t>进一步扩大信息公开覆盖面。通过海盐门户网、企业服务直通车、企业走访、座谈会等多个平台多维度扩大公开的覆盖面，使公众可以多渠道获得有效信息。</w:t>
      </w:r>
    </w:p>
    <w:p>
      <w:pPr>
        <w:widowControl/>
        <w:spacing w:line="520" w:lineRule="exact"/>
        <w:ind w:firstLine="480"/>
        <w:rPr>
          <w:rFonts w:ascii="宋体" w:hAnsi="宋体" w:cs="宋体"/>
          <w:b/>
          <w:bCs/>
          <w:color w:val="000000"/>
          <w:kern w:val="0"/>
          <w:sz w:val="24"/>
        </w:rPr>
      </w:pPr>
    </w:p>
    <w:p>
      <w:pPr>
        <w:widowControl/>
        <w:spacing w:line="520" w:lineRule="exact"/>
        <w:ind w:firstLine="480"/>
        <w:rPr>
          <w:rFonts w:ascii="宋体" w:hAnsi="宋体" w:cs="宋体"/>
          <w:color w:val="000000"/>
          <w:kern w:val="0"/>
          <w:sz w:val="24"/>
        </w:rPr>
      </w:pPr>
      <w:r>
        <w:rPr>
          <w:rFonts w:hint="eastAsia" w:ascii="宋体" w:hAnsi="宋体" w:cs="宋体"/>
          <w:b/>
          <w:bCs/>
          <w:color w:val="000000"/>
          <w:kern w:val="0"/>
          <w:sz w:val="24"/>
        </w:rPr>
        <w:t>六、其他需要报告的事项</w:t>
      </w:r>
    </w:p>
    <w:p>
      <w:pPr>
        <w:spacing w:line="520" w:lineRule="exact"/>
        <w:ind w:firstLine="360" w:firstLineChars="150"/>
      </w:pPr>
      <w:r>
        <w:rPr>
          <w:rFonts w:hint="eastAsia" w:ascii="宋体" w:hAnsi="宋体" w:cs="宋体"/>
          <w:color w:val="000000"/>
          <w:kern w:val="0"/>
          <w:sz w:val="24"/>
        </w:rPr>
        <w:t>无其他事项报告。</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_GB2312">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80281"/>
    <w:rsid w:val="00012E2D"/>
    <w:rsid w:val="00031B26"/>
    <w:rsid w:val="00046E8E"/>
    <w:rsid w:val="00132AB0"/>
    <w:rsid w:val="001421DC"/>
    <w:rsid w:val="00221A65"/>
    <w:rsid w:val="0023085E"/>
    <w:rsid w:val="002B1DFF"/>
    <w:rsid w:val="002F063B"/>
    <w:rsid w:val="003316F7"/>
    <w:rsid w:val="004832B8"/>
    <w:rsid w:val="004955B4"/>
    <w:rsid w:val="004A24AE"/>
    <w:rsid w:val="004F7954"/>
    <w:rsid w:val="00503653"/>
    <w:rsid w:val="0051331C"/>
    <w:rsid w:val="005C2480"/>
    <w:rsid w:val="005E02E2"/>
    <w:rsid w:val="00611BE8"/>
    <w:rsid w:val="006C2675"/>
    <w:rsid w:val="007216EB"/>
    <w:rsid w:val="00745E0C"/>
    <w:rsid w:val="00757558"/>
    <w:rsid w:val="007C0123"/>
    <w:rsid w:val="007C0B70"/>
    <w:rsid w:val="00817A59"/>
    <w:rsid w:val="00832CA5"/>
    <w:rsid w:val="0099488C"/>
    <w:rsid w:val="00AB19AF"/>
    <w:rsid w:val="00AD44DF"/>
    <w:rsid w:val="00B31689"/>
    <w:rsid w:val="00B37DD1"/>
    <w:rsid w:val="00B72341"/>
    <w:rsid w:val="00C02AAB"/>
    <w:rsid w:val="00C1318E"/>
    <w:rsid w:val="00C442B1"/>
    <w:rsid w:val="00C83F19"/>
    <w:rsid w:val="00DB410E"/>
    <w:rsid w:val="00DC58E6"/>
    <w:rsid w:val="00DC764A"/>
    <w:rsid w:val="00DF64E5"/>
    <w:rsid w:val="00E82F43"/>
    <w:rsid w:val="00F2725C"/>
    <w:rsid w:val="00F45C4B"/>
    <w:rsid w:val="00F53B5A"/>
    <w:rsid w:val="00FD79B3"/>
    <w:rsid w:val="00FE4FE5"/>
    <w:rsid w:val="2ED80281"/>
    <w:rsid w:val="3FFE33EA"/>
    <w:rsid w:val="7BEB25D4"/>
    <w:rsid w:val="CBFE924E"/>
    <w:rsid w:val="FFFFC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First Indent 2"/>
    <w:basedOn w:val="1"/>
    <w:qFormat/>
    <w:uiPriority w:val="0"/>
    <w:pPr>
      <w:ind w:firstLine="420" w:firstLineChars="200"/>
    </w:pPr>
    <w:rPr>
      <w:rFonts w:eastAsia="仿宋"/>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page number"/>
    <w:basedOn w:val="8"/>
    <w:qFormat/>
    <w:uiPriority w:val="0"/>
  </w:style>
  <w:style w:type="paragraph" w:customStyle="1" w:styleId="10">
    <w:name w:val="Char Char3 Char Char"/>
    <w:basedOn w:val="1"/>
    <w:qFormat/>
    <w:uiPriority w:val="0"/>
    <w:pPr>
      <w:spacing w:line="360" w:lineRule="auto"/>
      <w:ind w:firstLine="200" w:firstLineChars="200"/>
    </w:pPr>
    <w:rPr>
      <w:rFonts w:ascii="宋体" w:hAnsi="宋体" w:eastAsia="楷体_GB2312" w:cs="宋体"/>
      <w:sz w:val="24"/>
    </w:rPr>
  </w:style>
  <w:style w:type="character" w:customStyle="1" w:styleId="11">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372</Words>
  <Characters>2126</Characters>
  <Lines>17</Lines>
  <Paragraphs>4</Paragraphs>
  <TotalTime>0</TotalTime>
  <ScaleCrop>false</ScaleCrop>
  <LinksUpToDate>false</LinksUpToDate>
  <CharactersWithSpaces>2494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2020-01-13T23:32:00Z</dcterms:created>
  <dc:creator>zj</dc:creator>
  <cp:lastModifiedBy>jxj38</cp:lastModifiedBy>
  <dcterms:modified xsi:type="dcterms:W3CDTF">2022-02-14T09:01:41Z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