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于城镇人民政府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20</w:t>
      </w: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年度政府信息公开工作年度报告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 xml:space="preserve">本年度报告是根据《中华人民共和国政府信息公开条例》（以下简称《条例》）要求编制而成。本报告由总体情况、主动公开政府信息情况、收到和处理政府信息公开申请情况、政府信息公开行政复议及行政诉讼情况、存在的主要问题及改进措施、其他需要报告的事项组成。本报告中所列数据的统计时间为2021年1月1日至2021年12月31日。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10" w:leftChars="0" w:right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主动公开情况。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一是丰富内容，应公尽公。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全面梳理、及时发布各类政府信息，2021年度主动公开发布政府信息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179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对照镇街道主动公开目录，进一步梳理农业农村、食品安全、筹资筹劳等方面政府信息，累计发布17条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是聚焦热点，回应关切。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针对人民群众普遍关心的热点问题，及时发布相关工作公示和规范性文件，并由镇主要负责人进行政策解读。全年及时公开发布有关农房征迁、土地征收政策文件2个，并同步发布政策解读2次。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三是拓宽渠道，优化服务。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在政府办公楼设置政府信息公开专栏，及时发布政府各类信息。结合便民大厅建设，努力推动政务服务规范化、便利化建设，为群众获取政府信息、享受政务服务创造更加便利条件。</w:t>
      </w:r>
    </w:p>
    <w:p>
      <w:pPr>
        <w:widowControl/>
        <w:numPr>
          <w:ilvl w:val="0"/>
          <w:numId w:val="1"/>
        </w:numPr>
        <w:spacing w:line="560" w:lineRule="exact"/>
        <w:ind w:left="-10" w:leftChars="0" w:firstLine="640" w:firstLineChars="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依申请公开情况。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2021年未发生因政府信息公开引起的申请行政复议、提起行政诉讼的情况。</w:t>
      </w:r>
    </w:p>
    <w:p>
      <w:pPr>
        <w:widowControl/>
        <w:numPr>
          <w:ilvl w:val="0"/>
          <w:numId w:val="1"/>
        </w:numPr>
        <w:spacing w:line="560" w:lineRule="exact"/>
        <w:ind w:left="-10" w:leftChars="0" w:firstLine="640" w:firstLineChars="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政府信息管理情况。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一是强化组织领导。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成立乡镇主要领导主管、分管领导主抓的工作机制，明确各站办、村，确定专人负责本单位政府信息发布，确保政府信息公开工作严格按要求落实。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二</w:t>
      </w: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是优化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发布机制</w:t>
      </w: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按照定期公开和临时公开相结合的方式，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及时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更新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组织机构、政策公告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、人事信息等工作内容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由分管领导对公开信息进行审核把关，确保信息公开及时客观、全面精准。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（四）平台建设情况。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-SA"/>
        </w:rPr>
        <w:t>一是加强网上平台建设。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以海盐县人民政府门户网为主阵地，对机构信息、政策文件、工作信息等常规版块定期进行维护更新，加强对政府信息公开工作自查力度。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-SA"/>
        </w:rPr>
        <w:t>二是推动政务服务升级。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 w:bidi="ar"/>
        </w:rPr>
        <w:t>利用数字化手段为政务线上服务进一步扩展赋能，积极引入各类政务服务app，大力推动乡镇街道政务2.0系统试运行，多渠道帮助群众更好获取政府信息、享受政务服务。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（五）监督保障情况。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安排专人负责网站的日常维护及信息发布工作，确保了政府信息常态化发布。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  <w:t>建立投诉、反馈制度，设立群众意见箱和群众投诉电话，认真做好来信来访工作，对群众所提出的问题，限期答复。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宋体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 w:eastAsia="zh-CN"/>
        </w:rPr>
        <w:t>（一）存在的主要问题。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一是政府信息公开机制还不够完善。各部门之间信息交流不够通畅，对政府信息公开工作重视度不够；二是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信息公开“两化”建设有待提升。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信息公开渠道窄、覆盖面和知晓度有限，“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两化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建设在政府各领域有待深化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 w:eastAsia="zh-CN"/>
        </w:rPr>
        <w:t>（二）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改进措施。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是进一步建立信息交流共享机制。加强政府信息在政府各部门间的交流共享，形成政府信息公开工作合力；二是进一步加强“两化”建设力度。积极推进“两化”建设，聚焦群众关注的热点问题，进一步推进各类政府信息公开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于城镇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2021年度未收取政府信息公开相关信息处理费。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004890"/>
    <w:multiLevelType w:val="singleLevel"/>
    <w:tmpl w:val="1C004890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E6A4F"/>
    <w:rsid w:val="1A254BF3"/>
    <w:rsid w:val="378D0823"/>
    <w:rsid w:val="3AE23D33"/>
    <w:rsid w:val="3B7E5AD9"/>
    <w:rsid w:val="405E5D8B"/>
    <w:rsid w:val="738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2022-01-19T01:28:00Z</dcterms:created>
  <dc:creator>追风之狼</dc:creator>
  <cp:lastModifiedBy>追风之狼</cp:lastModifiedBy>
  <dcterms:modified xsi:type="dcterms:W3CDTF">2022-01-26T02:59:54Z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35F2D15302C9462C937FCA4ED0F6A1DA</vt:lpwstr>
  </property>
</Properties>
</file>