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60"/>
        </w:tabs>
        <w:spacing w:line="360" w:lineRule="auto"/>
        <w:ind w:left="935" w:right="1151" w:hanging="51"/>
        <w:jc w:val="center"/>
        <w:rPr>
          <w:w w:val="95"/>
          <w:sz w:val="44"/>
          <w:u w:val="single"/>
        </w:rPr>
      </w:pPr>
      <w:r>
        <w:rPr>
          <w:rFonts w:hint="eastAsia"/>
          <w:w w:val="95"/>
          <w:sz w:val="44"/>
          <w:u w:val="single"/>
        </w:rPr>
        <w:t>海盐县人民医院迁建工程（暂名）</w:t>
      </w:r>
    </w:p>
    <w:p>
      <w:pPr>
        <w:tabs>
          <w:tab w:val="left" w:pos="7260"/>
        </w:tabs>
        <w:spacing w:line="360" w:lineRule="auto"/>
        <w:ind w:left="935" w:right="1151" w:hanging="51"/>
        <w:jc w:val="center"/>
        <w:rPr>
          <w:rFonts w:hint="eastAsia"/>
          <w:w w:val="95"/>
          <w:sz w:val="44"/>
          <w:u w:val="single"/>
        </w:rPr>
      </w:pPr>
      <w:r>
        <w:rPr>
          <w:rFonts w:hint="eastAsia"/>
          <w:w w:val="95"/>
          <w:sz w:val="44"/>
          <w:u w:val="single"/>
          <w:lang w:val="zh-CN" w:eastAsia="zh-CN"/>
        </w:rPr>
        <w:t>食堂厨房</w:t>
      </w:r>
      <w:r>
        <w:rPr>
          <w:rFonts w:hint="eastAsia"/>
          <w:w w:val="95"/>
          <w:sz w:val="44"/>
          <w:highlight w:val="none"/>
          <w:u w:val="single"/>
          <w:lang w:val="en-US" w:eastAsia="zh-CN"/>
        </w:rPr>
        <w:t>工程</w:t>
      </w:r>
    </w:p>
    <w:p>
      <w:pPr>
        <w:pStyle w:val="12"/>
        <w:spacing w:before="2"/>
      </w:pPr>
    </w:p>
    <w:p>
      <w:pPr>
        <w:pStyle w:val="24"/>
      </w:pPr>
      <w:r>
        <w:rPr>
          <w:rFonts w:hint="eastAsia"/>
        </w:rPr>
        <w:t>招 标 文 件</w:t>
      </w:r>
    </w:p>
    <w:p>
      <w:pPr>
        <w:pStyle w:val="12"/>
        <w:tabs>
          <w:tab w:val="left" w:pos="7383"/>
        </w:tabs>
        <w:spacing w:before="10"/>
        <w:rPr>
          <w:sz w:val="85"/>
        </w:rPr>
      </w:pPr>
      <w:r>
        <w:rPr>
          <w:rFonts w:hint="eastAsia"/>
          <w:sz w:val="85"/>
        </w:rPr>
        <w:tab/>
      </w:r>
    </w:p>
    <w:p>
      <w:pPr>
        <w:pStyle w:val="5"/>
        <w:tabs>
          <w:tab w:val="left" w:pos="5656"/>
        </w:tabs>
        <w:spacing w:before="1"/>
        <w:ind w:left="0" w:right="340"/>
        <w:jc w:val="center"/>
        <w:rPr>
          <w:rFonts w:hint="eastAsia" w:eastAsia="宋体"/>
          <w:b/>
          <w:lang w:val="en-US" w:eastAsia="zh-CN"/>
        </w:rPr>
      </w:pPr>
      <w:bookmarkStart w:id="0" w:name="_Toc17093"/>
      <w:r>
        <w:rPr>
          <w:rFonts w:hint="eastAsia"/>
        </w:rPr>
        <w:t>招标项目编号</w:t>
      </w:r>
      <w:bookmarkEnd w:id="0"/>
      <w:r>
        <w:rPr>
          <w:rFonts w:hint="eastAsia"/>
        </w:rPr>
        <w:t>：</w:t>
      </w:r>
      <w:r>
        <w:rPr>
          <w:rFonts w:hint="eastAsia"/>
          <w:u w:val="single"/>
          <w:lang w:val="en-US" w:eastAsia="zh-CN"/>
        </w:rPr>
        <w:t xml:space="preserve"> </w:t>
      </w:r>
    </w:p>
    <w:p>
      <w:pPr>
        <w:pStyle w:val="12"/>
        <w:rPr>
          <w:b/>
          <w:sz w:val="20"/>
        </w:rPr>
      </w:pPr>
    </w:p>
    <w:p>
      <w:pPr>
        <w:pStyle w:val="12"/>
        <w:rPr>
          <w:b/>
          <w:sz w:val="20"/>
        </w:rPr>
      </w:pPr>
    </w:p>
    <w:p>
      <w:pPr>
        <w:pStyle w:val="12"/>
        <w:rPr>
          <w:b/>
          <w:sz w:val="20"/>
        </w:rPr>
      </w:pPr>
    </w:p>
    <w:p>
      <w:pPr>
        <w:pStyle w:val="12"/>
        <w:spacing w:before="9"/>
        <w:rPr>
          <w:b/>
          <w:sz w:val="28"/>
        </w:rPr>
      </w:pPr>
    </w:p>
    <w:p>
      <w:pPr>
        <w:pStyle w:val="12"/>
        <w:tabs>
          <w:tab w:val="left" w:pos="4083"/>
        </w:tabs>
        <w:spacing w:before="70" w:line="364" w:lineRule="auto"/>
        <w:ind w:left="1512" w:right="4502"/>
        <w:rPr>
          <w:w w:val="95"/>
          <w:sz w:val="24"/>
          <w:szCs w:val="24"/>
        </w:rPr>
      </w:pPr>
      <w:r>
        <w:rPr>
          <w:rFonts w:hint="eastAsia"/>
          <w:w w:val="95"/>
          <w:sz w:val="24"/>
          <w:szCs w:val="24"/>
        </w:rPr>
        <w:t xml:space="preserve">招标单位：海盐县人民医院（盖章） </w:t>
      </w:r>
    </w:p>
    <w:p>
      <w:pPr>
        <w:pStyle w:val="12"/>
        <w:tabs>
          <w:tab w:val="left" w:pos="4083"/>
        </w:tabs>
        <w:spacing w:before="70" w:line="364" w:lineRule="auto"/>
        <w:ind w:left="1512" w:right="4502"/>
        <w:rPr>
          <w:sz w:val="24"/>
          <w:szCs w:val="24"/>
        </w:rPr>
      </w:pPr>
      <w:r>
        <w:rPr>
          <w:rFonts w:hint="eastAsia"/>
          <w:w w:val="95"/>
          <w:sz w:val="24"/>
          <w:szCs w:val="24"/>
        </w:rPr>
        <w:t>法定代表人：</w:t>
      </w:r>
      <w:r>
        <w:rPr>
          <w:rFonts w:hint="eastAsia"/>
          <w:w w:val="95"/>
          <w:sz w:val="24"/>
          <w:szCs w:val="24"/>
          <w:u w:val="single"/>
        </w:rPr>
        <w:t xml:space="preserve"> </w:t>
      </w:r>
      <w:r>
        <w:rPr>
          <w:rFonts w:hint="eastAsia"/>
          <w:sz w:val="24"/>
          <w:szCs w:val="24"/>
          <w:u w:val="single"/>
        </w:rPr>
        <w:tab/>
      </w:r>
    </w:p>
    <w:p>
      <w:pPr>
        <w:pStyle w:val="12"/>
        <w:rPr>
          <w:sz w:val="24"/>
          <w:szCs w:val="24"/>
        </w:rPr>
      </w:pPr>
    </w:p>
    <w:p>
      <w:pPr>
        <w:pStyle w:val="12"/>
        <w:spacing w:before="2"/>
        <w:rPr>
          <w:sz w:val="24"/>
          <w:szCs w:val="24"/>
        </w:rPr>
      </w:pPr>
    </w:p>
    <w:p>
      <w:pPr>
        <w:pStyle w:val="12"/>
        <w:tabs>
          <w:tab w:val="left" w:pos="4083"/>
        </w:tabs>
        <w:spacing w:before="69" w:line="364" w:lineRule="auto"/>
        <w:ind w:left="1512" w:right="3453"/>
        <w:rPr>
          <w:spacing w:val="1"/>
          <w:w w:val="95"/>
          <w:sz w:val="24"/>
          <w:szCs w:val="24"/>
        </w:rPr>
      </w:pPr>
      <w:r>
        <w:rPr>
          <w:rFonts w:hint="eastAsia"/>
          <w:w w:val="95"/>
          <w:sz w:val="24"/>
          <w:szCs w:val="24"/>
        </w:rPr>
        <w:t>招标代理单位：五洲工程顾问集团有限公司（盖章）</w:t>
      </w:r>
      <w:r>
        <w:rPr>
          <w:rFonts w:hint="eastAsia"/>
          <w:spacing w:val="1"/>
          <w:w w:val="95"/>
          <w:sz w:val="24"/>
          <w:szCs w:val="24"/>
        </w:rPr>
        <w:t xml:space="preserve"> </w:t>
      </w:r>
    </w:p>
    <w:p>
      <w:pPr>
        <w:pStyle w:val="12"/>
        <w:tabs>
          <w:tab w:val="left" w:pos="4083"/>
        </w:tabs>
        <w:spacing w:before="69" w:line="364" w:lineRule="auto"/>
        <w:ind w:left="1512" w:right="3453"/>
        <w:rPr>
          <w:sz w:val="24"/>
          <w:szCs w:val="24"/>
        </w:rPr>
      </w:pPr>
      <w:r>
        <w:rPr>
          <w:rFonts w:hint="eastAsia"/>
          <w:w w:val="95"/>
          <w:sz w:val="24"/>
          <w:szCs w:val="24"/>
        </w:rPr>
        <w:t>法定代表人：</w:t>
      </w:r>
      <w:r>
        <w:rPr>
          <w:rFonts w:hint="eastAsia"/>
          <w:w w:val="95"/>
          <w:sz w:val="24"/>
          <w:szCs w:val="24"/>
          <w:u w:val="single"/>
        </w:rPr>
        <w:t xml:space="preserve"> </w:t>
      </w:r>
      <w:r>
        <w:rPr>
          <w:rFonts w:hint="eastAsia"/>
          <w:sz w:val="24"/>
          <w:szCs w:val="24"/>
          <w:u w:val="single"/>
        </w:rPr>
        <w:tab/>
      </w:r>
    </w:p>
    <w:p>
      <w:pPr>
        <w:pStyle w:val="12"/>
        <w:rPr>
          <w:sz w:val="24"/>
          <w:szCs w:val="24"/>
        </w:rPr>
      </w:pPr>
    </w:p>
    <w:p>
      <w:pPr>
        <w:pStyle w:val="12"/>
        <w:spacing w:before="76"/>
        <w:ind w:left="1512"/>
        <w:rPr>
          <w:sz w:val="24"/>
          <w:szCs w:val="24"/>
        </w:rPr>
      </w:pPr>
      <w:r>
        <w:rPr>
          <w:rFonts w:hint="eastAsia"/>
          <w:sz w:val="24"/>
          <w:szCs w:val="24"/>
        </w:rPr>
        <w:t>编制人：</w:t>
      </w:r>
      <w:r>
        <w:rPr>
          <w:rFonts w:hint="eastAsia"/>
          <w:spacing w:val="-2"/>
          <w:sz w:val="24"/>
          <w:szCs w:val="24"/>
          <w:u w:val="single"/>
        </w:rPr>
        <w:t xml:space="preserve">      </w:t>
      </w:r>
      <w:r>
        <w:rPr>
          <w:rFonts w:hint="eastAsia"/>
          <w:sz w:val="24"/>
          <w:szCs w:val="24"/>
        </w:rPr>
        <w:t>审核人：</w:t>
      </w:r>
      <w:r>
        <w:rPr>
          <w:rFonts w:hint="eastAsia"/>
          <w:spacing w:val="-2"/>
          <w:sz w:val="24"/>
          <w:szCs w:val="24"/>
          <w:u w:val="single"/>
        </w:rPr>
        <w:t xml:space="preserve">    </w:t>
      </w:r>
      <w:r>
        <w:rPr>
          <w:rFonts w:hint="eastAsia"/>
          <w:spacing w:val="-1"/>
          <w:sz w:val="24"/>
          <w:szCs w:val="24"/>
          <w:u w:val="single"/>
        </w:rPr>
        <w:t xml:space="preserve"> </w:t>
      </w:r>
    </w:p>
    <w:p>
      <w:pPr>
        <w:pStyle w:val="12"/>
        <w:spacing w:before="8"/>
        <w:rPr>
          <w:sz w:val="24"/>
          <w:szCs w:val="24"/>
        </w:rPr>
      </w:pPr>
    </w:p>
    <w:p>
      <w:pPr>
        <w:pStyle w:val="12"/>
        <w:tabs>
          <w:tab w:val="left" w:pos="4031"/>
        </w:tabs>
        <w:spacing w:before="76"/>
        <w:ind w:left="1512"/>
        <w:rPr>
          <w:sz w:val="24"/>
          <w:szCs w:val="24"/>
        </w:rPr>
      </w:pPr>
      <w:r>
        <w:rPr>
          <w:rFonts w:hint="eastAsia"/>
          <w:w w:val="95"/>
          <w:sz w:val="24"/>
          <w:szCs w:val="24"/>
        </w:rPr>
        <w:t>项目组负责人：</w:t>
      </w:r>
      <w:r>
        <w:rPr>
          <w:rFonts w:hint="eastAsia"/>
          <w:spacing w:val="280"/>
          <w:sz w:val="24"/>
          <w:szCs w:val="24"/>
          <w:u w:val="single"/>
        </w:rPr>
        <w:t xml:space="preserve"> </w:t>
      </w:r>
      <w:r>
        <w:rPr>
          <w:rFonts w:hint="eastAsia"/>
          <w:sz w:val="24"/>
          <w:szCs w:val="24"/>
          <w:u w:val="single"/>
        </w:rPr>
        <w:t xml:space="preserve">   </w:t>
      </w:r>
      <w:r>
        <w:rPr>
          <w:rFonts w:hint="eastAsia"/>
          <w:sz w:val="24"/>
          <w:szCs w:val="24"/>
          <w:u w:val="single"/>
        </w:rPr>
        <w:tab/>
      </w:r>
    </w:p>
    <w:p>
      <w:pPr>
        <w:pStyle w:val="12"/>
        <w:rPr>
          <w:sz w:val="24"/>
          <w:szCs w:val="24"/>
        </w:rPr>
      </w:pPr>
    </w:p>
    <w:p>
      <w:pPr>
        <w:pStyle w:val="12"/>
        <w:rPr>
          <w:sz w:val="24"/>
          <w:szCs w:val="24"/>
        </w:rPr>
      </w:pPr>
    </w:p>
    <w:p>
      <w:pPr>
        <w:pStyle w:val="12"/>
        <w:spacing w:before="10"/>
        <w:rPr>
          <w:sz w:val="24"/>
          <w:szCs w:val="24"/>
        </w:rPr>
      </w:pPr>
    </w:p>
    <w:p>
      <w:pPr>
        <w:pStyle w:val="12"/>
        <w:spacing w:before="69"/>
        <w:ind w:left="1512"/>
        <w:rPr>
          <w:sz w:val="24"/>
          <w:szCs w:val="24"/>
        </w:rPr>
      </w:pPr>
      <w:r>
        <w:rPr>
          <w:rFonts w:hint="eastAsia"/>
          <w:sz w:val="24"/>
          <w:szCs w:val="24"/>
        </w:rPr>
        <w:t>备案单位：</w:t>
      </w:r>
      <w:r>
        <w:rPr>
          <w:rFonts w:hint="eastAsia"/>
          <w:sz w:val="24"/>
          <w:szCs w:val="24"/>
          <w:u w:val="single"/>
        </w:rPr>
        <w:t>海盐县住房和城乡建设局</w:t>
      </w:r>
    </w:p>
    <w:p>
      <w:pPr>
        <w:pStyle w:val="12"/>
        <w:spacing w:before="10"/>
        <w:rPr>
          <w:sz w:val="24"/>
          <w:szCs w:val="24"/>
        </w:rPr>
      </w:pPr>
    </w:p>
    <w:p>
      <w:pPr>
        <w:pStyle w:val="12"/>
        <w:tabs>
          <w:tab w:val="left" w:pos="4923"/>
        </w:tabs>
        <w:spacing w:before="76"/>
        <w:ind w:left="1512"/>
        <w:rPr>
          <w:sz w:val="24"/>
          <w:szCs w:val="24"/>
        </w:rPr>
      </w:pPr>
      <w:r>
        <w:rPr>
          <w:rFonts w:hint="eastAsia"/>
          <w:sz w:val="24"/>
          <w:szCs w:val="24"/>
        </w:rPr>
        <w:t>备案号：</w:t>
      </w:r>
      <w:r>
        <w:rPr>
          <w:rFonts w:hint="eastAsia"/>
          <w:sz w:val="24"/>
          <w:szCs w:val="24"/>
          <w:u w:val="single"/>
        </w:rPr>
        <w:t xml:space="preserve"> </w:t>
      </w:r>
      <w:r>
        <w:rPr>
          <w:rFonts w:hint="eastAsia"/>
          <w:sz w:val="24"/>
          <w:szCs w:val="24"/>
          <w:u w:val="single"/>
        </w:rPr>
        <w:tab/>
      </w:r>
    </w:p>
    <w:p>
      <w:pPr>
        <w:pStyle w:val="12"/>
        <w:rPr>
          <w:sz w:val="20"/>
        </w:rPr>
      </w:pPr>
    </w:p>
    <w:p>
      <w:pPr>
        <w:pStyle w:val="12"/>
        <w:spacing w:before="9"/>
        <w:rPr>
          <w:sz w:val="23"/>
        </w:rPr>
      </w:pPr>
    </w:p>
    <w:p>
      <w:pPr>
        <w:pStyle w:val="7"/>
        <w:spacing w:before="76"/>
        <w:ind w:left="1654" w:firstLine="0"/>
        <w:jc w:val="center"/>
      </w:pPr>
    </w:p>
    <w:p>
      <w:pPr>
        <w:pStyle w:val="7"/>
        <w:spacing w:before="76"/>
        <w:ind w:left="1654" w:firstLine="0"/>
      </w:pPr>
      <w:r>
        <w:rPr>
          <w:rFonts w:hint="eastAsia"/>
        </w:rPr>
        <w:t>编制时间：</w:t>
      </w:r>
      <w:r>
        <w:rPr>
          <w:rFonts w:hint="eastAsia"/>
          <w:u w:val="single"/>
        </w:rPr>
        <w:t>202</w:t>
      </w:r>
      <w:r>
        <w:rPr>
          <w:rFonts w:hint="eastAsia"/>
          <w:u w:val="single"/>
          <w:lang w:val="en-US" w:eastAsia="zh-CN"/>
        </w:rPr>
        <w:t>3</w:t>
      </w:r>
      <w:r>
        <w:rPr>
          <w:rFonts w:hint="eastAsia"/>
          <w:spacing w:val="-30"/>
        </w:rPr>
        <w:t>年</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月</w:t>
      </w:r>
    </w:p>
    <w:p>
      <w:pPr>
        <w:sectPr>
          <w:headerReference r:id="rId3" w:type="default"/>
          <w:pgSz w:w="11910" w:h="16840"/>
          <w:pgMar w:top="1400" w:right="601" w:bottom="280" w:left="880" w:header="720" w:footer="720" w:gutter="0"/>
          <w:pgNumType w:fmt="decimal"/>
          <w:cols w:space="720" w:num="1"/>
        </w:sectPr>
      </w:pPr>
    </w:p>
    <w:p>
      <w:pPr>
        <w:pStyle w:val="12"/>
        <w:spacing w:before="11"/>
        <w:rPr>
          <w:sz w:val="12"/>
        </w:rPr>
      </w:pPr>
    </w:p>
    <w:sdt>
      <w:sdtPr>
        <w:rPr>
          <w:b/>
          <w:bCs/>
          <w:kern w:val="28"/>
          <w:sz w:val="44"/>
          <w:szCs w:val="44"/>
        </w:rPr>
        <w:id w:val="147464188"/>
        <w:docPartObj>
          <w:docPartGallery w:val="Table of Contents"/>
          <w:docPartUnique/>
        </w:docPartObj>
      </w:sdtPr>
      <w:sdtEndPr>
        <w:rPr>
          <w:rFonts w:hint="eastAsia" w:ascii="Cambria" w:hAnsi="Cambria" w:eastAsia="宋体" w:cs="宋体"/>
          <w:b/>
          <w:bCs/>
          <w:kern w:val="28"/>
          <w:sz w:val="32"/>
          <w:szCs w:val="32"/>
        </w:rPr>
      </w:sdtEndPr>
      <w:sdtContent>
        <w:p>
          <w:pPr>
            <w:jc w:val="center"/>
            <w:rPr>
              <w:b/>
              <w:bCs/>
              <w:sz w:val="44"/>
              <w:szCs w:val="44"/>
            </w:rPr>
          </w:pPr>
          <w:r>
            <w:rPr>
              <w:b/>
              <w:bCs/>
              <w:sz w:val="44"/>
              <w:szCs w:val="44"/>
            </w:rPr>
            <w:t>目</w:t>
          </w:r>
          <w:r>
            <w:rPr>
              <w:rFonts w:hint="eastAsia"/>
              <w:b/>
              <w:bCs/>
              <w:sz w:val="44"/>
              <w:szCs w:val="44"/>
            </w:rPr>
            <w:t xml:space="preserve">  </w:t>
          </w:r>
          <w:r>
            <w:rPr>
              <w:b/>
              <w:bCs/>
              <w:sz w:val="44"/>
              <w:szCs w:val="44"/>
            </w:rPr>
            <w:t>录</w:t>
          </w:r>
        </w:p>
        <w:p>
          <w:pPr>
            <w:pStyle w:val="19"/>
            <w:tabs>
              <w:tab w:val="right" w:leader="dot" w:pos="9642"/>
            </w:tabs>
          </w:pPr>
          <w:r>
            <w:rPr>
              <w:rFonts w:hint="eastAsia"/>
            </w:rPr>
            <w:fldChar w:fldCharType="begin"/>
          </w:r>
          <w:r>
            <w:rPr>
              <w:rFonts w:hint="eastAsia"/>
            </w:rPr>
            <w:instrText xml:space="preserve">TOC \o "1-1" \h \u </w:instrText>
          </w:r>
          <w:r>
            <w:rPr>
              <w:rFonts w:hint="eastAsia"/>
            </w:rPr>
            <w:fldChar w:fldCharType="separate"/>
          </w:r>
          <w:r>
            <w:fldChar w:fldCharType="begin"/>
          </w:r>
          <w:r>
            <w:instrText xml:space="preserve"> HYPERLINK \l "_Toc13918" </w:instrText>
          </w:r>
          <w:r>
            <w:fldChar w:fldCharType="separate"/>
          </w:r>
          <w:r>
            <w:rPr>
              <w:rFonts w:hint="eastAsia"/>
              <w:w w:val="95"/>
              <w:szCs w:val="32"/>
            </w:rPr>
            <w:t>第一卷</w:t>
          </w:r>
          <w:r>
            <w:tab/>
          </w:r>
          <w:r>
            <w:fldChar w:fldCharType="begin"/>
          </w:r>
          <w:r>
            <w:instrText xml:space="preserve"> PAGEREF _Toc13918 \h </w:instrText>
          </w:r>
          <w:r>
            <w:fldChar w:fldCharType="separate"/>
          </w:r>
          <w:r>
            <w:t>1</w:t>
          </w:r>
          <w:r>
            <w:fldChar w:fldCharType="end"/>
          </w:r>
          <w:r>
            <w:fldChar w:fldCharType="end"/>
          </w:r>
        </w:p>
        <w:p>
          <w:pPr>
            <w:pStyle w:val="19"/>
            <w:tabs>
              <w:tab w:val="right" w:leader="dot" w:pos="9642"/>
            </w:tabs>
          </w:pPr>
          <w:r>
            <w:fldChar w:fldCharType="begin"/>
          </w:r>
          <w:r>
            <w:instrText xml:space="preserve"> HYPERLINK \l "_Toc23887" </w:instrText>
          </w:r>
          <w:r>
            <w:fldChar w:fldCharType="separate"/>
          </w:r>
          <w:r>
            <w:rPr>
              <w:rFonts w:hint="eastAsia"/>
              <w:bCs/>
              <w:spacing w:val="14"/>
              <w:szCs w:val="36"/>
            </w:rPr>
            <w:t>第一章 招标公告</w:t>
          </w:r>
          <w:r>
            <w:tab/>
          </w:r>
          <w:r>
            <w:fldChar w:fldCharType="begin"/>
          </w:r>
          <w:r>
            <w:instrText xml:space="preserve"> PAGEREF _Toc23887 \h </w:instrText>
          </w:r>
          <w:r>
            <w:fldChar w:fldCharType="separate"/>
          </w:r>
          <w:r>
            <w:t>2</w:t>
          </w:r>
          <w:r>
            <w:fldChar w:fldCharType="end"/>
          </w:r>
          <w:r>
            <w:fldChar w:fldCharType="end"/>
          </w:r>
        </w:p>
        <w:p>
          <w:pPr>
            <w:pStyle w:val="19"/>
            <w:tabs>
              <w:tab w:val="right" w:leader="dot" w:pos="9642"/>
            </w:tabs>
          </w:pPr>
          <w:r>
            <w:fldChar w:fldCharType="begin"/>
          </w:r>
          <w:r>
            <w:instrText xml:space="preserve"> HYPERLINK \l "_Toc9602" </w:instrText>
          </w:r>
          <w:r>
            <w:fldChar w:fldCharType="separate"/>
          </w:r>
          <w:r>
            <w:rPr>
              <w:rFonts w:hint="eastAsia"/>
              <w:bCs/>
              <w:spacing w:val="14"/>
              <w:szCs w:val="36"/>
            </w:rPr>
            <w:t>第二章 投标人须知</w:t>
          </w:r>
          <w:r>
            <w:tab/>
          </w:r>
          <w:r>
            <w:fldChar w:fldCharType="begin"/>
          </w:r>
          <w:r>
            <w:instrText xml:space="preserve"> PAGEREF _Toc9602 \h </w:instrText>
          </w:r>
          <w:r>
            <w:fldChar w:fldCharType="separate"/>
          </w:r>
          <w:r>
            <w:t>5</w:t>
          </w:r>
          <w:r>
            <w:fldChar w:fldCharType="end"/>
          </w:r>
          <w:r>
            <w:fldChar w:fldCharType="end"/>
          </w:r>
        </w:p>
        <w:p>
          <w:pPr>
            <w:pStyle w:val="19"/>
            <w:tabs>
              <w:tab w:val="right" w:leader="dot" w:pos="9642"/>
            </w:tabs>
          </w:pPr>
          <w:r>
            <w:fldChar w:fldCharType="begin"/>
          </w:r>
          <w:r>
            <w:instrText xml:space="preserve"> HYPERLINK \l "_Toc387" </w:instrText>
          </w:r>
          <w:r>
            <w:fldChar w:fldCharType="separate"/>
          </w:r>
          <w:r>
            <w:rPr>
              <w:rFonts w:hint="eastAsia"/>
              <w:bCs/>
              <w:spacing w:val="14"/>
              <w:szCs w:val="36"/>
            </w:rPr>
            <w:t>第三章 评标办法（综合评估法）</w:t>
          </w:r>
          <w:r>
            <w:tab/>
          </w:r>
          <w:r>
            <w:fldChar w:fldCharType="begin"/>
          </w:r>
          <w:r>
            <w:instrText xml:space="preserve"> PAGEREF _Toc387 \h </w:instrText>
          </w:r>
          <w:r>
            <w:fldChar w:fldCharType="separate"/>
          </w:r>
          <w:r>
            <w:t>21</w:t>
          </w:r>
          <w:r>
            <w:fldChar w:fldCharType="end"/>
          </w:r>
          <w:r>
            <w:fldChar w:fldCharType="end"/>
          </w:r>
        </w:p>
        <w:p>
          <w:pPr>
            <w:pStyle w:val="19"/>
            <w:tabs>
              <w:tab w:val="right" w:leader="dot" w:pos="9642"/>
            </w:tabs>
          </w:pPr>
          <w:r>
            <w:fldChar w:fldCharType="begin"/>
          </w:r>
          <w:r>
            <w:instrText xml:space="preserve"> HYPERLINK \l "_Toc19616" </w:instrText>
          </w:r>
          <w:r>
            <w:fldChar w:fldCharType="separate"/>
          </w:r>
          <w:r>
            <w:rPr>
              <w:rFonts w:hint="eastAsia"/>
              <w:bCs/>
              <w:spacing w:val="14"/>
              <w:szCs w:val="36"/>
            </w:rPr>
            <w:t>第四章 合同条款及格式</w:t>
          </w:r>
          <w:r>
            <w:tab/>
          </w:r>
          <w:r>
            <w:fldChar w:fldCharType="begin"/>
          </w:r>
          <w:r>
            <w:instrText xml:space="preserve"> PAGEREF _Toc19616 \h </w:instrText>
          </w:r>
          <w:r>
            <w:fldChar w:fldCharType="separate"/>
          </w:r>
          <w:r>
            <w:t>26</w:t>
          </w:r>
          <w:r>
            <w:fldChar w:fldCharType="end"/>
          </w:r>
          <w:r>
            <w:fldChar w:fldCharType="end"/>
          </w:r>
        </w:p>
        <w:p>
          <w:pPr>
            <w:pStyle w:val="19"/>
            <w:tabs>
              <w:tab w:val="right" w:leader="dot" w:pos="9642"/>
            </w:tabs>
          </w:pPr>
          <w:r>
            <w:fldChar w:fldCharType="begin"/>
          </w:r>
          <w:r>
            <w:instrText xml:space="preserve"> HYPERLINK \l "_Toc5913" </w:instrText>
          </w:r>
          <w:r>
            <w:fldChar w:fldCharType="separate"/>
          </w:r>
          <w:r>
            <w:rPr>
              <w:rFonts w:hint="eastAsia"/>
              <w:w w:val="95"/>
            </w:rPr>
            <w:t>第二卷</w:t>
          </w:r>
          <w:r>
            <w:tab/>
          </w:r>
          <w:r>
            <w:fldChar w:fldCharType="begin"/>
          </w:r>
          <w:r>
            <w:instrText xml:space="preserve"> PAGEREF _Toc5913 \h </w:instrText>
          </w:r>
          <w:r>
            <w:fldChar w:fldCharType="separate"/>
          </w:r>
          <w:r>
            <w:t>44</w:t>
          </w:r>
          <w:r>
            <w:fldChar w:fldCharType="end"/>
          </w:r>
          <w:r>
            <w:fldChar w:fldCharType="end"/>
          </w:r>
        </w:p>
        <w:p>
          <w:pPr>
            <w:pStyle w:val="19"/>
            <w:tabs>
              <w:tab w:val="right" w:leader="dot" w:pos="9642"/>
            </w:tabs>
          </w:pPr>
          <w:r>
            <w:fldChar w:fldCharType="begin"/>
          </w:r>
          <w:r>
            <w:instrText xml:space="preserve"> HYPERLINK \l "_Toc6323" </w:instrText>
          </w:r>
          <w:r>
            <w:fldChar w:fldCharType="separate"/>
          </w:r>
          <w:r>
            <w:rPr>
              <w:rFonts w:hint="eastAsia"/>
              <w:bCs/>
              <w:spacing w:val="14"/>
              <w:szCs w:val="36"/>
            </w:rPr>
            <w:t>第五章 技术标准和要求</w:t>
          </w:r>
          <w:r>
            <w:tab/>
          </w:r>
          <w:r>
            <w:fldChar w:fldCharType="begin"/>
          </w:r>
          <w:r>
            <w:instrText xml:space="preserve"> PAGEREF _Toc6323 \h </w:instrText>
          </w:r>
          <w:r>
            <w:fldChar w:fldCharType="separate"/>
          </w:r>
          <w:r>
            <w:t>45</w:t>
          </w:r>
          <w:r>
            <w:fldChar w:fldCharType="end"/>
          </w:r>
          <w:r>
            <w:fldChar w:fldCharType="end"/>
          </w:r>
        </w:p>
        <w:p>
          <w:pPr>
            <w:pStyle w:val="19"/>
            <w:tabs>
              <w:tab w:val="right" w:leader="dot" w:pos="9642"/>
            </w:tabs>
          </w:pPr>
          <w:r>
            <w:fldChar w:fldCharType="begin"/>
          </w:r>
          <w:r>
            <w:instrText xml:space="preserve"> HYPERLINK \l "_Toc901" </w:instrText>
          </w:r>
          <w:r>
            <w:fldChar w:fldCharType="separate"/>
          </w:r>
          <w:r>
            <w:rPr>
              <w:rFonts w:hint="eastAsia"/>
              <w:w w:val="95"/>
            </w:rPr>
            <w:t>第三卷</w:t>
          </w:r>
          <w:r>
            <w:tab/>
          </w:r>
          <w:r>
            <w:fldChar w:fldCharType="begin"/>
          </w:r>
          <w:r>
            <w:instrText xml:space="preserve"> PAGEREF _Toc901 \h </w:instrText>
          </w:r>
          <w:r>
            <w:fldChar w:fldCharType="separate"/>
          </w:r>
          <w:r>
            <w:t>49</w:t>
          </w:r>
          <w:r>
            <w:fldChar w:fldCharType="end"/>
          </w:r>
          <w:r>
            <w:fldChar w:fldCharType="end"/>
          </w:r>
        </w:p>
        <w:p>
          <w:pPr>
            <w:pStyle w:val="19"/>
            <w:tabs>
              <w:tab w:val="right" w:leader="dot" w:pos="9642"/>
            </w:tabs>
          </w:pPr>
          <w:r>
            <w:fldChar w:fldCharType="begin"/>
          </w:r>
          <w:r>
            <w:instrText xml:space="preserve"> HYPERLINK \l "_Toc31773" </w:instrText>
          </w:r>
          <w:r>
            <w:fldChar w:fldCharType="separate"/>
          </w:r>
          <w:r>
            <w:rPr>
              <w:rFonts w:hint="eastAsia"/>
              <w:bCs/>
              <w:spacing w:val="14"/>
              <w:szCs w:val="36"/>
            </w:rPr>
            <w:t>第六章 投标文件格式</w:t>
          </w:r>
          <w:r>
            <w:tab/>
          </w:r>
          <w:r>
            <w:fldChar w:fldCharType="begin"/>
          </w:r>
          <w:r>
            <w:instrText xml:space="preserve"> PAGEREF _Toc31773 \h </w:instrText>
          </w:r>
          <w:r>
            <w:fldChar w:fldCharType="separate"/>
          </w:r>
          <w:r>
            <w:t>49</w:t>
          </w:r>
          <w:r>
            <w:fldChar w:fldCharType="end"/>
          </w:r>
          <w:r>
            <w:fldChar w:fldCharType="end"/>
          </w:r>
        </w:p>
        <w:p>
          <w:pPr>
            <w:pStyle w:val="20"/>
            <w:jc w:val="left"/>
            <w:outlineLvl w:val="9"/>
          </w:pPr>
          <w:r>
            <w:rPr>
              <w:rFonts w:hint="eastAsia"/>
            </w:rPr>
            <w:fldChar w:fldCharType="end"/>
          </w:r>
        </w:p>
      </w:sdtContent>
    </w:sdt>
    <w:p>
      <w:pPr>
        <w:sectPr>
          <w:pgSz w:w="11910" w:h="16840"/>
          <w:pgMar w:top="1440" w:right="1800" w:bottom="1440" w:left="1800" w:header="720" w:footer="720" w:gutter="0"/>
          <w:pgNumType w:fmt="decimal"/>
          <w:cols w:space="720" w:num="1"/>
        </w:sect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spacing w:before="7"/>
        <w:rPr>
          <w:sz w:val="22"/>
        </w:rPr>
      </w:pPr>
    </w:p>
    <w:p>
      <w:pPr>
        <w:pStyle w:val="2"/>
        <w:spacing w:before="0"/>
        <w:ind w:right="64"/>
      </w:pPr>
      <w:bookmarkStart w:id="1" w:name="第一章_招标公告"/>
      <w:bookmarkEnd w:id="1"/>
      <w:bookmarkStart w:id="2" w:name="第一卷"/>
      <w:bookmarkEnd w:id="2"/>
      <w:bookmarkStart w:id="3" w:name="_Toc13918"/>
      <w:bookmarkStart w:id="4" w:name="_Toc5015"/>
      <w:r>
        <w:rPr>
          <w:rFonts w:hint="eastAsia"/>
          <w:w w:val="95"/>
        </w:rPr>
        <w:t>第一卷</w:t>
      </w:r>
      <w:bookmarkEnd w:id="3"/>
      <w:bookmarkEnd w:id="4"/>
    </w:p>
    <w:p>
      <w:pPr>
        <w:sectPr>
          <w:footerReference r:id="rId4" w:type="default"/>
          <w:pgSz w:w="11910" w:h="16840"/>
          <w:pgMar w:top="1580" w:right="1134" w:bottom="1100" w:left="880" w:header="0" w:footer="913" w:gutter="0"/>
          <w:pgNumType w:fmt="decimal" w:start="1"/>
          <w:cols w:space="720" w:num="1"/>
        </w:sectPr>
      </w:pPr>
    </w:p>
    <w:p>
      <w:pPr>
        <w:pStyle w:val="2"/>
        <w:spacing w:before="0" w:after="175" w:afterLines="73"/>
        <w:ind w:right="64"/>
        <w:rPr>
          <w:b/>
          <w:sz w:val="18"/>
        </w:rPr>
      </w:pPr>
      <w:bookmarkStart w:id="5" w:name="_Toc23887"/>
      <w:bookmarkStart w:id="6" w:name="_Toc23985"/>
      <w:r>
        <w:rPr>
          <w:rFonts w:hint="eastAsia"/>
          <w:b/>
          <w:bCs/>
          <w:spacing w:val="14"/>
          <w:sz w:val="36"/>
          <w:szCs w:val="36"/>
        </w:rPr>
        <w:t>第一章 招标公告</w:t>
      </w:r>
      <w:bookmarkEnd w:id="5"/>
      <w:bookmarkEnd w:id="6"/>
    </w:p>
    <w:p>
      <w:pPr>
        <w:spacing w:line="364" w:lineRule="auto"/>
        <w:ind w:left="936" w:right="1149" w:hanging="53"/>
        <w:jc w:val="center"/>
      </w:pPr>
      <w:r>
        <w:rPr>
          <w:rFonts w:hint="eastAsia"/>
          <w:b/>
          <w:bCs/>
          <w:sz w:val="24"/>
          <w:szCs w:val="24"/>
          <w:u w:val="single" w:color="000000"/>
          <w:lang w:val="zh-CN"/>
        </w:rPr>
        <w:t>海盐县人民医院</w:t>
      </w:r>
      <w:r>
        <w:rPr>
          <w:rFonts w:hint="eastAsia"/>
          <w:b/>
          <w:bCs/>
          <w:sz w:val="24"/>
          <w:szCs w:val="24"/>
          <w:u w:val="single" w:color="000000"/>
        </w:rPr>
        <w:t>迁建工程</w:t>
      </w:r>
      <w:r>
        <w:rPr>
          <w:rFonts w:hint="eastAsia"/>
          <w:b/>
          <w:bCs/>
          <w:sz w:val="24"/>
          <w:szCs w:val="24"/>
          <w:u w:val="single" w:color="000000"/>
          <w:lang w:val="zh-CN"/>
        </w:rPr>
        <w:t>（</w:t>
      </w:r>
      <w:r>
        <w:rPr>
          <w:rFonts w:hint="eastAsia"/>
          <w:b/>
          <w:bCs/>
          <w:sz w:val="24"/>
          <w:szCs w:val="24"/>
          <w:u w:val="single" w:color="000000"/>
        </w:rPr>
        <w:t>暂名</w:t>
      </w:r>
      <w:r>
        <w:rPr>
          <w:rFonts w:hint="eastAsia"/>
          <w:b/>
          <w:bCs/>
          <w:sz w:val="24"/>
          <w:szCs w:val="24"/>
          <w:u w:val="single" w:color="000000"/>
          <w:lang w:val="zh-CN"/>
        </w:rPr>
        <w:t>）食堂厨房</w:t>
      </w:r>
      <w:r>
        <w:rPr>
          <w:rFonts w:hint="eastAsia"/>
          <w:b/>
          <w:bCs/>
          <w:sz w:val="24"/>
          <w:szCs w:val="24"/>
          <w:u w:val="single" w:color="000000"/>
          <w:lang w:val="en-US" w:eastAsia="zh-CN"/>
        </w:rPr>
        <w:t>工程</w:t>
      </w:r>
      <w:r>
        <w:rPr>
          <w:rFonts w:hint="eastAsia"/>
          <w:sz w:val="24"/>
          <w:szCs w:val="24"/>
        </w:rPr>
        <w:t>招标公告</w:t>
      </w:r>
    </w:p>
    <w:p>
      <w:pPr>
        <w:pStyle w:val="12"/>
        <w:spacing w:line="360" w:lineRule="auto"/>
        <w:ind w:firstLine="3150" w:firstLineChars="1500"/>
        <w:rPr>
          <w:rFonts w:hint="default" w:eastAsia="宋体"/>
          <w:sz w:val="20"/>
          <w:lang w:val="en-US" w:eastAsia="zh-CN"/>
        </w:rPr>
      </w:pPr>
      <w:r>
        <w:rPr>
          <w:rFonts w:hint="eastAsia"/>
        </w:rPr>
        <w:t>招标项目编号：</w:t>
      </w:r>
      <w:r>
        <w:rPr>
          <w:rFonts w:hint="eastAsia"/>
          <w:u w:val="single"/>
          <w:lang w:val="en-US" w:eastAsia="zh-CN"/>
        </w:rPr>
        <w:t xml:space="preserve">     </w:t>
      </w:r>
    </w:p>
    <w:p>
      <w:pPr>
        <w:pStyle w:val="7"/>
        <w:numPr>
          <w:ilvl w:val="0"/>
          <w:numId w:val="2"/>
        </w:numPr>
        <w:tabs>
          <w:tab w:val="left" w:pos="801"/>
        </w:tabs>
        <w:spacing w:line="360" w:lineRule="auto"/>
        <w:rPr>
          <w:b/>
          <w:bCs/>
        </w:rPr>
      </w:pPr>
      <w:r>
        <w:rPr>
          <w:rFonts w:hint="eastAsia"/>
          <w:b/>
          <w:bCs/>
        </w:rPr>
        <w:t>招标条件</w:t>
      </w:r>
    </w:p>
    <w:p>
      <w:pPr>
        <w:pStyle w:val="12"/>
        <w:spacing w:line="360" w:lineRule="auto"/>
        <w:ind w:left="598" w:leftChars="285" w:firstLine="420" w:firstLineChars="200"/>
        <w:jc w:val="both"/>
        <w:rPr>
          <w:rFonts w:hint="eastAsia"/>
          <w:sz w:val="21"/>
          <w:szCs w:val="21"/>
          <w:u w:val="single"/>
        </w:rPr>
      </w:pPr>
      <w:r>
        <w:rPr>
          <w:rFonts w:hint="eastAsia"/>
          <w:sz w:val="21"/>
          <w:szCs w:val="21"/>
        </w:rPr>
        <w:t>本招标项目</w:t>
      </w:r>
      <w:r>
        <w:rPr>
          <w:rFonts w:hint="eastAsia"/>
          <w:sz w:val="21"/>
          <w:szCs w:val="21"/>
          <w:u w:val="single"/>
        </w:rPr>
        <w:t>海盐县人民医院迁建工程（暂名）</w:t>
      </w:r>
      <w:r>
        <w:rPr>
          <w:rFonts w:hint="eastAsia"/>
          <w:sz w:val="21"/>
          <w:szCs w:val="21"/>
        </w:rPr>
        <w:t>已由</w:t>
      </w:r>
      <w:r>
        <w:rPr>
          <w:rFonts w:hint="eastAsia"/>
          <w:sz w:val="21"/>
          <w:szCs w:val="21"/>
          <w:u w:val="single"/>
        </w:rPr>
        <w:t>海盐县发展和改革局以盐发改投【2020】134号</w:t>
      </w:r>
      <w:r>
        <w:rPr>
          <w:rFonts w:hint="eastAsia"/>
          <w:sz w:val="21"/>
          <w:szCs w:val="21"/>
        </w:rPr>
        <w:t>批准建设，招标人为</w:t>
      </w:r>
      <w:r>
        <w:rPr>
          <w:rFonts w:hint="eastAsia"/>
          <w:sz w:val="21"/>
          <w:szCs w:val="21"/>
          <w:u w:val="single"/>
        </w:rPr>
        <w:t>海盐县人民医院</w:t>
      </w:r>
      <w:r>
        <w:rPr>
          <w:rFonts w:hint="eastAsia"/>
          <w:sz w:val="21"/>
          <w:szCs w:val="21"/>
        </w:rPr>
        <w:t>，建设资金来自</w:t>
      </w:r>
      <w:r>
        <w:rPr>
          <w:rFonts w:hint="eastAsia"/>
          <w:sz w:val="21"/>
          <w:szCs w:val="21"/>
          <w:u w:val="single"/>
        </w:rPr>
        <w:t>财政拨款</w:t>
      </w:r>
      <w:r>
        <w:rPr>
          <w:rFonts w:hint="eastAsia"/>
          <w:sz w:val="21"/>
          <w:szCs w:val="21"/>
        </w:rPr>
        <w:t>。项目已具备招标条件，现对该项</w:t>
      </w:r>
      <w:r>
        <w:rPr>
          <w:rFonts w:hint="eastAsia"/>
          <w:sz w:val="21"/>
          <w:szCs w:val="21"/>
          <w:u w:val="none"/>
        </w:rPr>
        <w:t>目</w:t>
      </w:r>
      <w:r>
        <w:rPr>
          <w:rFonts w:hint="eastAsia"/>
          <w:sz w:val="21"/>
          <w:szCs w:val="21"/>
          <w:u w:val="single"/>
          <w:lang w:val="zh-CN" w:eastAsia="zh-CN"/>
        </w:rPr>
        <w:t>食堂厨房</w:t>
      </w:r>
      <w:r>
        <w:rPr>
          <w:rFonts w:hint="eastAsia"/>
          <w:sz w:val="21"/>
          <w:szCs w:val="21"/>
          <w:u w:val="single"/>
          <w:lang w:val="en-US" w:eastAsia="zh-CN"/>
        </w:rPr>
        <w:t>工程</w:t>
      </w:r>
      <w:r>
        <w:rPr>
          <w:rFonts w:hint="eastAsia"/>
          <w:sz w:val="21"/>
          <w:szCs w:val="21"/>
          <w:u w:val="none"/>
        </w:rPr>
        <w:t>进行公开招标。</w:t>
      </w:r>
    </w:p>
    <w:p>
      <w:pPr>
        <w:pStyle w:val="7"/>
        <w:numPr>
          <w:ilvl w:val="0"/>
          <w:numId w:val="2"/>
        </w:numPr>
        <w:tabs>
          <w:tab w:val="left" w:pos="801"/>
        </w:tabs>
        <w:spacing w:line="360" w:lineRule="auto"/>
        <w:rPr>
          <w:b/>
          <w:bCs/>
          <w:sz w:val="24"/>
          <w:szCs w:val="24"/>
        </w:rPr>
      </w:pPr>
      <w:r>
        <w:rPr>
          <w:rFonts w:hint="eastAsia"/>
          <w:b/>
          <w:bCs/>
          <w:sz w:val="24"/>
          <w:szCs w:val="24"/>
        </w:rPr>
        <w:t>项目概况与招标范围</w:t>
      </w:r>
    </w:p>
    <w:p>
      <w:pPr>
        <w:pStyle w:val="62"/>
        <w:numPr>
          <w:ilvl w:val="1"/>
          <w:numId w:val="2"/>
        </w:numPr>
        <w:tabs>
          <w:tab w:val="left" w:pos="1348"/>
        </w:tabs>
        <w:spacing w:line="360" w:lineRule="auto"/>
        <w:rPr>
          <w:sz w:val="21"/>
          <w:szCs w:val="21"/>
        </w:rPr>
      </w:pPr>
      <w:r>
        <w:rPr>
          <w:rFonts w:hint="eastAsia"/>
          <w:sz w:val="21"/>
          <w:szCs w:val="21"/>
        </w:rPr>
        <w:t>建设地点：</w:t>
      </w:r>
      <w:r>
        <w:rPr>
          <w:rFonts w:hint="eastAsia"/>
          <w:sz w:val="21"/>
          <w:szCs w:val="21"/>
          <w:u w:val="single"/>
        </w:rPr>
        <w:t>位于海盐县武原街道，东至滨海大道，南至建丰路，西至空地，北至乐园路</w:t>
      </w:r>
      <w:r>
        <w:rPr>
          <w:rFonts w:hint="eastAsia"/>
          <w:sz w:val="21"/>
          <w:szCs w:val="21"/>
        </w:rPr>
        <w:t>。</w:t>
      </w:r>
    </w:p>
    <w:p>
      <w:pPr>
        <w:pStyle w:val="62"/>
        <w:numPr>
          <w:ilvl w:val="1"/>
          <w:numId w:val="2"/>
        </w:numPr>
        <w:tabs>
          <w:tab w:val="left" w:pos="1348"/>
        </w:tabs>
        <w:spacing w:line="360" w:lineRule="auto"/>
        <w:ind w:left="578" w:firstLine="403"/>
        <w:rPr>
          <w:sz w:val="21"/>
          <w:szCs w:val="21"/>
        </w:rPr>
      </w:pPr>
      <w:r>
        <w:rPr>
          <w:rFonts w:hint="eastAsia"/>
          <w:sz w:val="21"/>
          <w:szCs w:val="21"/>
        </w:rPr>
        <w:t>建设规模：</w:t>
      </w:r>
      <w:r>
        <w:rPr>
          <w:rFonts w:hint="eastAsia"/>
          <w:sz w:val="21"/>
          <w:szCs w:val="21"/>
          <w:u w:val="single"/>
        </w:rPr>
        <w:t>建设用地209.17亩，按1200床规模，建筑面积20.85万平方米，同步建设相关配套设施，项目概算总投资147349.17万元。</w:t>
      </w:r>
    </w:p>
    <w:p>
      <w:pPr>
        <w:pStyle w:val="62"/>
        <w:numPr>
          <w:ilvl w:val="1"/>
          <w:numId w:val="2"/>
        </w:numPr>
        <w:tabs>
          <w:tab w:val="left" w:pos="1348"/>
        </w:tabs>
        <w:spacing w:line="360" w:lineRule="auto"/>
        <w:rPr>
          <w:sz w:val="21"/>
          <w:szCs w:val="21"/>
          <w:u w:val="single"/>
        </w:rPr>
      </w:pPr>
      <w:r>
        <w:rPr>
          <w:rFonts w:hint="eastAsia"/>
          <w:w w:val="95"/>
          <w:sz w:val="21"/>
          <w:szCs w:val="21"/>
        </w:rPr>
        <w:t>本次最高投标限价：</w:t>
      </w:r>
      <w:r>
        <w:rPr>
          <w:rFonts w:hint="eastAsia"/>
          <w:w w:val="95"/>
          <w:sz w:val="21"/>
          <w:szCs w:val="21"/>
          <w:highlight w:val="cyan"/>
          <w:u w:val="single"/>
          <w:lang w:val="en-US" w:eastAsia="zh-CN"/>
        </w:rPr>
        <w:t>260</w:t>
      </w:r>
      <w:r>
        <w:rPr>
          <w:rFonts w:hint="eastAsia"/>
          <w:spacing w:val="-3"/>
          <w:w w:val="95"/>
          <w:sz w:val="21"/>
          <w:szCs w:val="21"/>
          <w:highlight w:val="cyan"/>
        </w:rPr>
        <w:t>万元</w:t>
      </w:r>
      <w:r>
        <w:rPr>
          <w:rFonts w:hint="eastAsia"/>
          <w:w w:val="95"/>
          <w:sz w:val="21"/>
          <w:szCs w:val="21"/>
        </w:rPr>
        <w:t>。</w:t>
      </w:r>
    </w:p>
    <w:p>
      <w:pPr>
        <w:pStyle w:val="62"/>
        <w:numPr>
          <w:ilvl w:val="1"/>
          <w:numId w:val="2"/>
        </w:numPr>
        <w:tabs>
          <w:tab w:val="left" w:pos="1348"/>
        </w:tabs>
        <w:spacing w:line="360" w:lineRule="auto"/>
        <w:jc w:val="both"/>
        <w:rPr>
          <w:color w:val="000000" w:themeColor="text1"/>
          <w:sz w:val="21"/>
          <w:szCs w:val="21"/>
          <w:highlight w:val="none"/>
          <w:u w:val="single"/>
          <w14:textFill>
            <w14:solidFill>
              <w14:schemeClr w14:val="tx1"/>
            </w14:solidFill>
          </w14:textFill>
        </w:rPr>
      </w:pPr>
      <w:r>
        <w:rPr>
          <w:rFonts w:hint="eastAsia"/>
          <w:sz w:val="21"/>
          <w:szCs w:val="21"/>
          <w:highlight w:val="none"/>
        </w:rPr>
        <w:t>计划工期</w:t>
      </w:r>
      <w:r>
        <w:rPr>
          <w:rFonts w:hint="eastAsia"/>
          <w:w w:val="95"/>
          <w:sz w:val="21"/>
          <w:szCs w:val="21"/>
          <w:highlight w:val="none"/>
        </w:rPr>
        <w:t>：</w:t>
      </w:r>
      <w:r>
        <w:rPr>
          <w:rFonts w:hint="eastAsia"/>
          <w:color w:val="000000" w:themeColor="text1"/>
          <w:sz w:val="21"/>
          <w:szCs w:val="21"/>
          <w:highlight w:val="none"/>
          <w:u w:val="single"/>
          <w14:textFill>
            <w14:solidFill>
              <w14:schemeClr w14:val="tx1"/>
            </w14:solidFill>
          </w14:textFill>
        </w:rPr>
        <w:t>合同签订生效且具备进场条件后</w:t>
      </w:r>
      <w:r>
        <w:rPr>
          <w:rFonts w:hint="eastAsia"/>
          <w:color w:val="000000" w:themeColor="text1"/>
          <w:sz w:val="21"/>
          <w:szCs w:val="21"/>
          <w:highlight w:val="none"/>
          <w:u w:val="single"/>
          <w:lang w:eastAsia="zh-CN"/>
          <w14:textFill>
            <w14:solidFill>
              <w14:schemeClr w14:val="tx1"/>
            </w14:solidFill>
          </w14:textFill>
        </w:rPr>
        <w:t>，</w:t>
      </w:r>
      <w:r>
        <w:rPr>
          <w:rFonts w:hint="eastAsia"/>
          <w:color w:val="000000" w:themeColor="text1"/>
          <w:sz w:val="21"/>
          <w:szCs w:val="21"/>
          <w:highlight w:val="none"/>
          <w:u w:val="single"/>
          <w:lang w:val="en-US" w:eastAsia="zh-CN"/>
          <w14:textFill>
            <w14:solidFill>
              <w14:schemeClr w14:val="tx1"/>
            </w14:solidFill>
          </w14:textFill>
        </w:rPr>
        <w:t>12个月内</w:t>
      </w:r>
      <w:r>
        <w:rPr>
          <w:rFonts w:hint="eastAsia"/>
          <w:color w:val="000000" w:themeColor="text1"/>
          <w:sz w:val="21"/>
          <w:szCs w:val="21"/>
          <w:highlight w:val="none"/>
          <w:u w:val="single"/>
          <w14:textFill>
            <w14:solidFill>
              <w14:schemeClr w14:val="tx1"/>
            </w14:solidFill>
          </w14:textFill>
        </w:rPr>
        <w:t>完成设备的供货、安装、调试及试运</w:t>
      </w:r>
    </w:p>
    <w:p>
      <w:pPr>
        <w:pStyle w:val="62"/>
        <w:numPr>
          <w:ilvl w:val="0"/>
          <w:numId w:val="0"/>
        </w:numPr>
        <w:tabs>
          <w:tab w:val="left" w:pos="1348"/>
        </w:tabs>
        <w:spacing w:line="360" w:lineRule="auto"/>
        <w:ind w:firstLine="630" w:firstLineChars="300"/>
        <w:rPr>
          <w:w w:val="95"/>
          <w:sz w:val="21"/>
          <w:szCs w:val="21"/>
          <w:highlight w:val="none"/>
          <w:u w:val="single"/>
        </w:rPr>
      </w:pPr>
      <w:r>
        <w:rPr>
          <w:rFonts w:hint="eastAsia"/>
          <w:color w:val="000000" w:themeColor="text1"/>
          <w:sz w:val="21"/>
          <w:szCs w:val="21"/>
          <w:highlight w:val="none"/>
          <w:u w:val="single"/>
          <w14:textFill>
            <w14:solidFill>
              <w14:schemeClr w14:val="tx1"/>
            </w14:solidFill>
          </w14:textFill>
        </w:rPr>
        <w:t>行，具体以配合施工现场进度为准</w:t>
      </w:r>
      <w:r>
        <w:rPr>
          <w:rFonts w:hint="eastAsia"/>
          <w:color w:val="000000" w:themeColor="text1"/>
          <w:sz w:val="21"/>
          <w:szCs w:val="21"/>
          <w:highlight w:val="none"/>
          <w:u w:val="single"/>
          <w:lang w:eastAsia="zh-CN"/>
          <w14:textFill>
            <w14:solidFill>
              <w14:schemeClr w14:val="tx1"/>
            </w14:solidFill>
          </w14:textFill>
        </w:rPr>
        <w:t>。</w:t>
      </w:r>
    </w:p>
    <w:p>
      <w:pPr>
        <w:pStyle w:val="62"/>
        <w:numPr>
          <w:ilvl w:val="1"/>
          <w:numId w:val="2"/>
        </w:numPr>
        <w:tabs>
          <w:tab w:val="left" w:pos="1348"/>
        </w:tabs>
        <w:spacing w:line="360" w:lineRule="auto"/>
        <w:ind w:left="533" w:leftChars="254" w:firstLine="420" w:firstLineChars="200"/>
        <w:rPr>
          <w:szCs w:val="21"/>
          <w:u w:val="single"/>
        </w:rPr>
      </w:pPr>
      <w:r>
        <w:rPr>
          <w:rFonts w:hint="eastAsia"/>
          <w:sz w:val="21"/>
          <w:szCs w:val="21"/>
          <w:highlight w:val="none"/>
        </w:rPr>
        <w:t>招标范围和内容：</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包含本项目食堂厨房</w:t>
      </w:r>
      <w:r>
        <w:rPr>
          <w:rFonts w:hint="eastAsia" w:cs="宋体"/>
          <w:color w:val="000000" w:themeColor="text1"/>
          <w:sz w:val="21"/>
          <w:szCs w:val="21"/>
          <w:highlight w:val="none"/>
          <w:u w:val="single"/>
          <w:lang w:val="en-US" w:eastAsia="zh-CN"/>
          <w14:textFill>
            <w14:solidFill>
              <w14:schemeClr w14:val="tx1"/>
            </w14:solidFill>
          </w14:textFill>
        </w:rPr>
        <w:t>设备的</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供货、安装、调试和试运行、验收开通、技术服务及培训、售后维修服务以及与工程总承包的协调、配合工作等</w:t>
      </w:r>
      <w:r>
        <w:rPr>
          <w:rFonts w:hint="eastAsia"/>
          <w:color w:val="000000" w:themeColor="text1"/>
          <w:sz w:val="21"/>
          <w:szCs w:val="21"/>
          <w:highlight w:val="none"/>
          <w:u w:val="single"/>
          <w14:textFill>
            <w14:solidFill>
              <w14:schemeClr w14:val="tx1"/>
            </w14:solidFill>
          </w14:textFill>
        </w:rPr>
        <w:t>。</w:t>
      </w:r>
      <w:r>
        <w:rPr>
          <w:rFonts w:hint="eastAsia"/>
          <w:sz w:val="21"/>
          <w:szCs w:val="21"/>
          <w:highlight w:val="none"/>
          <w:u w:val="single"/>
        </w:rPr>
        <w:t>（以招标文件提供的</w:t>
      </w:r>
      <w:r>
        <w:rPr>
          <w:rFonts w:hint="eastAsia"/>
          <w:sz w:val="21"/>
          <w:szCs w:val="21"/>
          <w:highlight w:val="cyan"/>
          <w:u w:val="single"/>
          <w:lang w:val="en-US" w:eastAsia="zh-CN"/>
        </w:rPr>
        <w:t>设计图纸</w:t>
      </w:r>
      <w:r>
        <w:rPr>
          <w:rFonts w:hint="eastAsia"/>
          <w:sz w:val="21"/>
          <w:szCs w:val="21"/>
          <w:highlight w:val="none"/>
          <w:u w:val="single"/>
        </w:rPr>
        <w:t>和采购清单为准进行报价。）</w:t>
      </w:r>
    </w:p>
    <w:p>
      <w:pPr>
        <w:pStyle w:val="62"/>
        <w:numPr>
          <w:ilvl w:val="1"/>
          <w:numId w:val="2"/>
        </w:numPr>
        <w:tabs>
          <w:tab w:val="left" w:pos="1348"/>
        </w:tabs>
        <w:spacing w:line="360" w:lineRule="auto"/>
        <w:rPr>
          <w:sz w:val="21"/>
          <w:szCs w:val="21"/>
        </w:rPr>
      </w:pPr>
      <w:r>
        <w:rPr>
          <w:rFonts w:hint="eastAsia"/>
          <w:sz w:val="21"/>
          <w:szCs w:val="21"/>
        </w:rPr>
        <w:t>标段划分：</w:t>
      </w:r>
      <w:r>
        <w:rPr>
          <w:rFonts w:hint="eastAsia"/>
          <w:sz w:val="21"/>
          <w:szCs w:val="21"/>
          <w:u w:val="single"/>
        </w:rPr>
        <w:t>一个合同段</w:t>
      </w:r>
      <w:r>
        <w:rPr>
          <w:rFonts w:hint="eastAsia"/>
          <w:sz w:val="21"/>
          <w:szCs w:val="21"/>
        </w:rPr>
        <w:t>。</w:t>
      </w:r>
    </w:p>
    <w:p>
      <w:pPr>
        <w:pStyle w:val="7"/>
        <w:numPr>
          <w:ilvl w:val="0"/>
          <w:numId w:val="2"/>
        </w:numPr>
        <w:tabs>
          <w:tab w:val="left" w:pos="801"/>
        </w:tabs>
        <w:spacing w:line="360" w:lineRule="auto"/>
        <w:rPr>
          <w:b/>
          <w:bCs/>
        </w:rPr>
      </w:pPr>
      <w:r>
        <w:rPr>
          <w:rFonts w:hint="eastAsia"/>
          <w:b/>
          <w:bCs/>
        </w:rPr>
        <w:t>投标人资格要求</w:t>
      </w:r>
    </w:p>
    <w:p>
      <w:pPr>
        <w:pStyle w:val="62"/>
        <w:numPr>
          <w:ilvl w:val="1"/>
          <w:numId w:val="2"/>
        </w:numPr>
        <w:tabs>
          <w:tab w:val="left" w:pos="1364"/>
        </w:tabs>
        <w:spacing w:line="360" w:lineRule="auto"/>
        <w:ind w:left="1470" w:hanging="369"/>
        <w:rPr>
          <w:sz w:val="21"/>
        </w:rPr>
      </w:pPr>
      <w:r>
        <w:rPr>
          <w:rFonts w:hint="eastAsia"/>
          <w:sz w:val="21"/>
        </w:rPr>
        <w:t>资格条件：</w:t>
      </w:r>
    </w:p>
    <w:p>
      <w:pPr>
        <w:pStyle w:val="62"/>
        <w:numPr>
          <w:ilvl w:val="0"/>
          <w:numId w:val="3"/>
        </w:numPr>
        <w:tabs>
          <w:tab w:val="left" w:pos="1364"/>
        </w:tabs>
        <w:spacing w:line="336" w:lineRule="auto"/>
        <w:ind w:left="630" w:leftChars="0" w:firstLineChars="0"/>
        <w:rPr>
          <w:highlight w:val="none"/>
        </w:rPr>
      </w:pPr>
      <w:r>
        <w:rPr>
          <w:rFonts w:hint="eastAsia"/>
          <w:sz w:val="21"/>
          <w:szCs w:val="21"/>
          <w:highlight w:val="none"/>
        </w:rPr>
        <w:t>投标人具有独立法人资格的厨房设备制造商或供货商。</w:t>
      </w:r>
    </w:p>
    <w:p>
      <w:pPr>
        <w:pStyle w:val="62"/>
        <w:numPr>
          <w:ilvl w:val="0"/>
          <w:numId w:val="3"/>
        </w:numPr>
        <w:tabs>
          <w:tab w:val="left" w:pos="1364"/>
        </w:tabs>
        <w:spacing w:line="336" w:lineRule="auto"/>
        <w:ind w:left="630" w:leftChars="0" w:firstLineChars="0"/>
        <w:rPr>
          <w:highlight w:val="none"/>
          <w:u w:val="none"/>
        </w:rPr>
      </w:pP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投</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标人</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自2018年1月1日至投标截止日（以完工验收证明材料上的时间为准）完成过单项合同金额</w:t>
      </w:r>
      <w:r>
        <w:rPr>
          <w:rFonts w:hint="eastAsia" w:cs="宋体"/>
          <w:color w:val="000000" w:themeColor="text1"/>
          <w:sz w:val="21"/>
          <w:szCs w:val="21"/>
          <w:highlight w:val="none"/>
          <w:u w:val="none"/>
          <w:lang w:val="en-US" w:eastAsia="zh-CN" w:bidi="ar-SA"/>
          <w14:textFill>
            <w14:solidFill>
              <w14:schemeClr w14:val="tx1"/>
            </w14:solidFill>
          </w14:textFill>
        </w:rPr>
        <w:t>150</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万元及以上</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cyan"/>
          <w:u w:val="none"/>
          <w:lang w:val="en-US" w:eastAsia="zh-CN"/>
          <w14:textFill>
            <w14:solidFill>
              <w14:schemeClr w14:val="tx1"/>
            </w14:solidFill>
          </w14:textFill>
        </w:rPr>
        <w:t>厨房设施设备项目</w:t>
      </w:r>
      <w:r>
        <w:rPr>
          <w:rFonts w:hint="eastAsia" w:ascii="宋体" w:hAnsi="宋体" w:eastAsia="宋体" w:cs="宋体"/>
          <w:color w:val="000000" w:themeColor="text1"/>
          <w:sz w:val="21"/>
          <w:szCs w:val="21"/>
          <w:highlight w:val="cyan"/>
          <w:u w:val="none"/>
          <w:lang w:val="en-US" w:eastAsia="zh-CN" w:bidi="ar-SA"/>
          <w14:textFill>
            <w14:solidFill>
              <w14:schemeClr w14:val="tx1"/>
            </w14:solidFill>
          </w14:textFill>
        </w:rPr>
        <w:t>业绩的</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。（提供中标通知书</w:t>
      </w:r>
      <w:r>
        <w:rPr>
          <w:rFonts w:hint="eastAsia" w:cs="宋体"/>
          <w:color w:val="000000" w:themeColor="text1"/>
          <w:sz w:val="21"/>
          <w:szCs w:val="21"/>
          <w:highlight w:val="none"/>
          <w:u w:val="non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合同和完工验收证明材料复印件）</w:t>
      </w:r>
    </w:p>
    <w:p>
      <w:pPr>
        <w:pStyle w:val="62"/>
        <w:numPr>
          <w:ilvl w:val="0"/>
          <w:numId w:val="3"/>
        </w:numPr>
        <w:tabs>
          <w:tab w:val="left" w:pos="1364"/>
        </w:tabs>
        <w:spacing w:line="336" w:lineRule="auto"/>
        <w:ind w:left="630" w:leftChars="0" w:firstLineChars="0"/>
      </w:pPr>
      <w:r>
        <w:rPr>
          <w:rFonts w:hint="eastAsia"/>
          <w:sz w:val="21"/>
          <w:szCs w:val="21"/>
          <w:highlight w:val="none"/>
        </w:rPr>
        <w:t>投标</w:t>
      </w:r>
      <w:r>
        <w:rPr>
          <w:rFonts w:hint="eastAsia"/>
          <w:sz w:val="21"/>
          <w:szCs w:val="21"/>
          <w:highlight w:val="none"/>
          <w:lang w:eastAsia="zh-CN"/>
        </w:rPr>
        <w:t>单位</w:t>
      </w:r>
      <w:r>
        <w:rPr>
          <w:rFonts w:hint="eastAsia"/>
          <w:sz w:val="21"/>
          <w:szCs w:val="21"/>
          <w:highlight w:val="none"/>
        </w:rPr>
        <w:t>负责人为同一人或者存在控股、管理关系的不同单</w:t>
      </w:r>
      <w:r>
        <w:rPr>
          <w:rFonts w:hint="eastAsia"/>
          <w:sz w:val="21"/>
          <w:szCs w:val="21"/>
        </w:rPr>
        <w:t>位，不得同时参加本项目投标</w:t>
      </w:r>
      <w:r>
        <w:rPr>
          <w:rFonts w:hint="eastAsia"/>
          <w:sz w:val="21"/>
        </w:rPr>
        <w:t>。</w:t>
      </w:r>
    </w:p>
    <w:p>
      <w:pPr>
        <w:pStyle w:val="62"/>
        <w:numPr>
          <w:ilvl w:val="1"/>
          <w:numId w:val="2"/>
        </w:numPr>
        <w:tabs>
          <w:tab w:val="left" w:pos="1364"/>
        </w:tabs>
        <w:spacing w:line="336" w:lineRule="auto"/>
        <w:ind w:left="1470" w:hanging="369"/>
        <w:rPr>
          <w:sz w:val="21"/>
        </w:rPr>
      </w:pPr>
      <w:r>
        <w:rPr>
          <w:rFonts w:hint="eastAsia"/>
          <w:sz w:val="21"/>
          <w:szCs w:val="21"/>
        </w:rPr>
        <w:t>本次招标不接受联合体投标</w:t>
      </w:r>
      <w:r>
        <w:rPr>
          <w:rFonts w:hint="eastAsia"/>
          <w:sz w:val="21"/>
        </w:rPr>
        <w:t>。</w:t>
      </w:r>
    </w:p>
    <w:p>
      <w:pPr>
        <w:pStyle w:val="62"/>
        <w:tabs>
          <w:tab w:val="left" w:pos="1364"/>
        </w:tabs>
        <w:spacing w:line="360" w:lineRule="auto"/>
        <w:ind w:left="0" w:firstLine="1050" w:firstLineChars="500"/>
        <w:rPr>
          <w:sz w:val="21"/>
          <w:szCs w:val="21"/>
        </w:rPr>
      </w:pPr>
      <w:r>
        <w:rPr>
          <w:rFonts w:hint="eastAsia"/>
          <w:sz w:val="21"/>
        </w:rPr>
        <w:t>详见本公告附件一“资格审查强制性资格条件标准”</w:t>
      </w:r>
      <w:r>
        <w:rPr>
          <w:rFonts w:hint="eastAsia"/>
          <w:sz w:val="21"/>
          <w:szCs w:val="21"/>
        </w:rPr>
        <w:t>。</w:t>
      </w:r>
    </w:p>
    <w:p>
      <w:pPr>
        <w:pStyle w:val="7"/>
        <w:numPr>
          <w:ilvl w:val="0"/>
          <w:numId w:val="2"/>
        </w:numPr>
        <w:tabs>
          <w:tab w:val="left" w:pos="801"/>
        </w:tabs>
        <w:spacing w:line="360" w:lineRule="auto"/>
        <w:rPr>
          <w:b/>
          <w:bCs/>
        </w:rPr>
      </w:pPr>
      <w:r>
        <w:rPr>
          <w:rFonts w:hint="eastAsia"/>
          <w:b/>
          <w:bCs/>
        </w:rPr>
        <w:t>招标文件的获取</w:t>
      </w:r>
    </w:p>
    <w:p>
      <w:pPr>
        <w:pStyle w:val="12"/>
        <w:spacing w:line="360" w:lineRule="auto"/>
        <w:ind w:left="560" w:right="626" w:firstLine="460"/>
        <w:jc w:val="both"/>
        <w:rPr>
          <w:szCs w:val="22"/>
        </w:rPr>
      </w:pPr>
      <w:r>
        <w:rPr>
          <w:rFonts w:hint="eastAsia"/>
          <w:szCs w:val="22"/>
        </w:rPr>
        <w:t>本项目实行资格后审，凡有意参加投标者，请于</w:t>
      </w:r>
      <w:r>
        <w:rPr>
          <w:rFonts w:hint="eastAsia"/>
          <w:szCs w:val="22"/>
          <w:u w:val="single"/>
        </w:rPr>
        <w:t>202</w:t>
      </w:r>
      <w:r>
        <w:rPr>
          <w:rFonts w:hint="eastAsia"/>
          <w:szCs w:val="22"/>
          <w:u w:val="single"/>
          <w:lang w:val="en-US" w:eastAsia="zh-CN"/>
        </w:rPr>
        <w:t>3</w:t>
      </w:r>
      <w:r>
        <w:rPr>
          <w:rFonts w:hint="eastAsia"/>
          <w:szCs w:val="22"/>
          <w:u w:val="single"/>
        </w:rPr>
        <w:t>年</w:t>
      </w:r>
      <w:r>
        <w:rPr>
          <w:rFonts w:hint="eastAsia"/>
          <w:szCs w:val="22"/>
          <w:u w:val="single"/>
          <w:lang w:val="en-US" w:eastAsia="zh-CN"/>
        </w:rPr>
        <w:t xml:space="preserve">  </w:t>
      </w:r>
      <w:r>
        <w:rPr>
          <w:rFonts w:hint="eastAsia"/>
          <w:szCs w:val="22"/>
          <w:u w:val="single"/>
        </w:rPr>
        <w:t>月</w:t>
      </w:r>
      <w:r>
        <w:rPr>
          <w:rFonts w:hint="eastAsia"/>
          <w:szCs w:val="22"/>
          <w:u w:val="single"/>
          <w:lang w:val="en-US" w:eastAsia="zh-CN"/>
        </w:rPr>
        <w:t xml:space="preserve">   </w:t>
      </w:r>
      <w:r>
        <w:rPr>
          <w:rFonts w:hint="eastAsia"/>
          <w:szCs w:val="22"/>
          <w:u w:val="single"/>
        </w:rPr>
        <w:t>日9时00分至202</w:t>
      </w:r>
      <w:r>
        <w:rPr>
          <w:rFonts w:hint="eastAsia"/>
          <w:szCs w:val="22"/>
          <w:u w:val="single"/>
          <w:lang w:val="en-US" w:eastAsia="zh-CN"/>
        </w:rPr>
        <w:t>3</w:t>
      </w:r>
      <w:r>
        <w:rPr>
          <w:rFonts w:hint="eastAsia"/>
          <w:szCs w:val="22"/>
          <w:u w:val="single"/>
        </w:rPr>
        <w:t>年</w:t>
      </w:r>
      <w:r>
        <w:rPr>
          <w:rFonts w:hint="eastAsia"/>
          <w:szCs w:val="22"/>
          <w:u w:val="single"/>
          <w:lang w:val="en-US" w:eastAsia="zh-CN"/>
        </w:rPr>
        <w:t xml:space="preserve">  </w:t>
      </w:r>
      <w:r>
        <w:rPr>
          <w:rFonts w:hint="eastAsia"/>
          <w:szCs w:val="22"/>
          <w:u w:val="single"/>
        </w:rPr>
        <w:t>月</w:t>
      </w:r>
      <w:r>
        <w:rPr>
          <w:rFonts w:hint="eastAsia"/>
          <w:szCs w:val="22"/>
          <w:u w:val="single"/>
          <w:lang w:val="en-US" w:eastAsia="zh-CN"/>
        </w:rPr>
        <w:t xml:space="preserve">  </w:t>
      </w:r>
      <w:r>
        <w:rPr>
          <w:rFonts w:hint="eastAsia"/>
          <w:szCs w:val="22"/>
          <w:u w:val="single"/>
        </w:rPr>
        <w:t>日9时00分</w:t>
      </w:r>
      <w:r>
        <w:rPr>
          <w:rFonts w:hint="eastAsia"/>
          <w:szCs w:val="22"/>
        </w:rPr>
        <w:t>，请各投标人登陆“嘉兴市公共资源交易网（海盐）（</w:t>
      </w:r>
      <w:r>
        <w:fldChar w:fldCharType="begin"/>
      </w:r>
      <w:r>
        <w:instrText xml:space="preserve"> HYPERLINK "http://jxszwsjb.jiaxing.gov.cn/hymain/" \h </w:instrText>
      </w:r>
      <w:r>
        <w:fldChar w:fldCharType="separate"/>
      </w:r>
      <w:r>
        <w:rPr>
          <w:rFonts w:hint="eastAsia"/>
          <w:szCs w:val="22"/>
        </w:rPr>
        <w:t>http://jxszwsjb.jiaxing.gov.cn/hymain/</w:t>
      </w:r>
      <w:r>
        <w:rPr>
          <w:rFonts w:hint="eastAsia"/>
          <w:szCs w:val="22"/>
        </w:rPr>
        <w:fldChar w:fldCharType="end"/>
      </w:r>
      <w:r>
        <w:rPr>
          <w:rFonts w:hint="eastAsia"/>
          <w:szCs w:val="22"/>
        </w:rPr>
        <w:t>）”自行下载招标文件和招标图纸等相关资料。</w:t>
      </w:r>
    </w:p>
    <w:p>
      <w:pPr>
        <w:pStyle w:val="7"/>
        <w:numPr>
          <w:ilvl w:val="0"/>
          <w:numId w:val="2"/>
        </w:numPr>
        <w:tabs>
          <w:tab w:val="left" w:pos="801"/>
        </w:tabs>
        <w:spacing w:line="360" w:lineRule="auto"/>
        <w:rPr>
          <w:b/>
          <w:bCs/>
        </w:rPr>
      </w:pPr>
      <w:r>
        <w:rPr>
          <w:rFonts w:hint="eastAsia"/>
          <w:b/>
          <w:bCs/>
        </w:rPr>
        <w:t>现场踏勘与投标预备会</w:t>
      </w:r>
    </w:p>
    <w:p>
      <w:pPr>
        <w:pStyle w:val="62"/>
        <w:numPr>
          <w:ilvl w:val="1"/>
          <w:numId w:val="2"/>
        </w:numPr>
        <w:tabs>
          <w:tab w:val="left" w:pos="1453"/>
          <w:tab w:val="left" w:pos="3235"/>
          <w:tab w:val="left" w:pos="3655"/>
          <w:tab w:val="left" w:pos="4812"/>
          <w:tab w:val="left" w:pos="5231"/>
        </w:tabs>
        <w:spacing w:line="360" w:lineRule="auto"/>
        <w:ind w:left="1451" w:hanging="369"/>
        <w:rPr>
          <w:sz w:val="21"/>
          <w:szCs w:val="21"/>
        </w:rPr>
      </w:pPr>
      <w:r>
        <w:rPr>
          <w:rFonts w:hint="eastAsia"/>
          <w:sz w:val="21"/>
          <w:szCs w:val="21"/>
        </w:rPr>
        <w:t>现场踏勘时间：</w:t>
      </w:r>
      <w:r>
        <w:rPr>
          <w:rFonts w:hint="eastAsia"/>
          <w:sz w:val="21"/>
          <w:szCs w:val="21"/>
          <w:u w:val="single"/>
        </w:rPr>
        <w:tab/>
      </w:r>
      <w:r>
        <w:rPr>
          <w:rFonts w:hint="eastAsia"/>
          <w:sz w:val="21"/>
          <w:szCs w:val="21"/>
          <w:u w:val="single"/>
        </w:rPr>
        <w:t>/</w:t>
      </w:r>
      <w:r>
        <w:rPr>
          <w:rFonts w:hint="eastAsia"/>
          <w:sz w:val="21"/>
          <w:szCs w:val="21"/>
          <w:u w:val="single"/>
        </w:rPr>
        <w:tab/>
      </w:r>
      <w:r>
        <w:rPr>
          <w:rFonts w:hint="eastAsia"/>
          <w:sz w:val="21"/>
          <w:szCs w:val="21"/>
        </w:rPr>
        <w:t>；地点：</w:t>
      </w:r>
      <w:r>
        <w:rPr>
          <w:rFonts w:hint="eastAsia"/>
          <w:sz w:val="21"/>
          <w:szCs w:val="21"/>
          <w:u w:val="single"/>
        </w:rPr>
        <w:tab/>
      </w:r>
      <w:r>
        <w:rPr>
          <w:rFonts w:hint="eastAsia"/>
          <w:sz w:val="21"/>
          <w:szCs w:val="21"/>
          <w:u w:val="single"/>
        </w:rPr>
        <w:t>/</w:t>
      </w:r>
      <w:r>
        <w:rPr>
          <w:rFonts w:hint="eastAsia"/>
          <w:sz w:val="21"/>
          <w:szCs w:val="21"/>
          <w:u w:val="single"/>
        </w:rPr>
        <w:tab/>
      </w:r>
      <w:r>
        <w:rPr>
          <w:rFonts w:hint="eastAsia"/>
          <w:sz w:val="21"/>
          <w:szCs w:val="21"/>
        </w:rPr>
        <w:t>。</w:t>
      </w:r>
    </w:p>
    <w:p>
      <w:pPr>
        <w:pStyle w:val="62"/>
        <w:numPr>
          <w:ilvl w:val="1"/>
          <w:numId w:val="2"/>
        </w:numPr>
        <w:tabs>
          <w:tab w:val="left" w:pos="1453"/>
          <w:tab w:val="left" w:pos="3447"/>
          <w:tab w:val="left" w:pos="3866"/>
          <w:tab w:val="left" w:pos="5021"/>
          <w:tab w:val="left" w:pos="5440"/>
        </w:tabs>
        <w:spacing w:line="360" w:lineRule="auto"/>
        <w:ind w:left="1451" w:hanging="369"/>
        <w:rPr>
          <w:sz w:val="21"/>
          <w:szCs w:val="21"/>
        </w:rPr>
      </w:pPr>
      <w:r>
        <w:rPr>
          <w:rFonts w:hint="eastAsia"/>
          <w:sz w:val="21"/>
          <w:szCs w:val="21"/>
        </w:rPr>
        <w:t>投标预备会时间：</w:t>
      </w:r>
      <w:r>
        <w:rPr>
          <w:rFonts w:hint="eastAsia"/>
          <w:sz w:val="21"/>
          <w:szCs w:val="21"/>
          <w:u w:val="single"/>
        </w:rPr>
        <w:tab/>
      </w:r>
      <w:r>
        <w:rPr>
          <w:rFonts w:hint="eastAsia"/>
          <w:sz w:val="21"/>
          <w:szCs w:val="21"/>
          <w:u w:val="single"/>
        </w:rPr>
        <w:t>/</w:t>
      </w:r>
      <w:r>
        <w:rPr>
          <w:rFonts w:hint="eastAsia"/>
          <w:sz w:val="21"/>
          <w:szCs w:val="21"/>
          <w:u w:val="single"/>
        </w:rPr>
        <w:tab/>
      </w:r>
      <w:r>
        <w:rPr>
          <w:rFonts w:hint="eastAsia"/>
          <w:sz w:val="21"/>
          <w:szCs w:val="21"/>
        </w:rPr>
        <w:t>；地点：</w:t>
      </w:r>
      <w:r>
        <w:rPr>
          <w:rFonts w:hint="eastAsia"/>
          <w:sz w:val="21"/>
          <w:szCs w:val="21"/>
          <w:u w:val="single"/>
        </w:rPr>
        <w:tab/>
      </w:r>
      <w:r>
        <w:rPr>
          <w:rFonts w:hint="eastAsia"/>
          <w:sz w:val="21"/>
          <w:szCs w:val="21"/>
          <w:u w:val="single"/>
        </w:rPr>
        <w:t>/</w:t>
      </w:r>
      <w:r>
        <w:rPr>
          <w:rFonts w:hint="eastAsia"/>
          <w:sz w:val="21"/>
          <w:szCs w:val="21"/>
          <w:u w:val="single"/>
        </w:rPr>
        <w:tab/>
      </w:r>
      <w:r>
        <w:rPr>
          <w:rFonts w:hint="eastAsia"/>
          <w:sz w:val="21"/>
          <w:szCs w:val="21"/>
        </w:rPr>
        <w:t>。</w:t>
      </w:r>
    </w:p>
    <w:p>
      <w:pPr>
        <w:pStyle w:val="7"/>
        <w:numPr>
          <w:ilvl w:val="0"/>
          <w:numId w:val="2"/>
        </w:numPr>
        <w:tabs>
          <w:tab w:val="left" w:pos="801"/>
        </w:tabs>
        <w:spacing w:line="360" w:lineRule="auto"/>
        <w:rPr>
          <w:b/>
          <w:bCs/>
        </w:rPr>
      </w:pPr>
      <w:r>
        <w:rPr>
          <w:rFonts w:hint="eastAsia"/>
          <w:b/>
          <w:bCs/>
        </w:rPr>
        <w:t>投标保证金和投标文件的递交</w:t>
      </w:r>
    </w:p>
    <w:p>
      <w:pPr>
        <w:pStyle w:val="62"/>
        <w:numPr>
          <w:ilvl w:val="1"/>
          <w:numId w:val="2"/>
        </w:numPr>
        <w:tabs>
          <w:tab w:val="left" w:pos="1408"/>
        </w:tabs>
        <w:spacing w:line="336" w:lineRule="auto"/>
        <w:ind w:left="1407"/>
        <w:rPr>
          <w:sz w:val="21"/>
          <w:szCs w:val="21"/>
        </w:rPr>
      </w:pPr>
      <w:r>
        <w:rPr>
          <w:rFonts w:hint="eastAsia"/>
          <w:sz w:val="21"/>
          <w:szCs w:val="21"/>
        </w:rPr>
        <w:t>投标保证金</w:t>
      </w:r>
      <w:r>
        <w:rPr>
          <w:rFonts w:hint="eastAsia"/>
          <w:sz w:val="21"/>
          <w:szCs w:val="21"/>
          <w:highlight w:val="none"/>
        </w:rPr>
        <w:t>：</w:t>
      </w:r>
      <w:r>
        <w:rPr>
          <w:rFonts w:hint="eastAsia"/>
          <w:spacing w:val="-3"/>
          <w:sz w:val="21"/>
          <w:szCs w:val="21"/>
          <w:highlight w:val="none"/>
          <w:u w:val="single"/>
        </w:rPr>
        <w:t xml:space="preserve">  </w:t>
      </w:r>
      <w:r>
        <w:rPr>
          <w:rFonts w:hint="eastAsia"/>
          <w:spacing w:val="-3"/>
          <w:sz w:val="21"/>
          <w:szCs w:val="21"/>
          <w:highlight w:val="none"/>
          <w:u w:val="single"/>
          <w:lang w:val="en-US" w:eastAsia="zh-CN"/>
        </w:rPr>
        <w:t xml:space="preserve">  </w:t>
      </w:r>
      <w:r>
        <w:rPr>
          <w:rFonts w:hint="eastAsia"/>
          <w:spacing w:val="-3"/>
          <w:sz w:val="21"/>
          <w:szCs w:val="21"/>
          <w:highlight w:val="none"/>
          <w:u w:val="single"/>
        </w:rPr>
        <w:t xml:space="preserve"> </w:t>
      </w:r>
      <w:r>
        <w:rPr>
          <w:rFonts w:hint="eastAsia"/>
          <w:sz w:val="21"/>
          <w:szCs w:val="21"/>
          <w:highlight w:val="none"/>
        </w:rPr>
        <w:t>万元，</w:t>
      </w:r>
      <w:r>
        <w:rPr>
          <w:rFonts w:hint="eastAsia"/>
          <w:sz w:val="21"/>
          <w:szCs w:val="21"/>
        </w:rPr>
        <w:t>按照招标文件要求支付。</w:t>
      </w:r>
    </w:p>
    <w:p>
      <w:pPr>
        <w:pStyle w:val="62"/>
        <w:numPr>
          <w:ilvl w:val="1"/>
          <w:numId w:val="2"/>
        </w:numPr>
        <w:tabs>
          <w:tab w:val="left" w:pos="1408"/>
        </w:tabs>
        <w:spacing w:line="336" w:lineRule="auto"/>
        <w:ind w:left="477" w:leftChars="227" w:firstLine="562" w:firstLineChars="268"/>
        <w:rPr>
          <w:sz w:val="21"/>
          <w:szCs w:val="21"/>
        </w:rPr>
      </w:pPr>
      <w:r>
        <w:rPr>
          <w:rFonts w:hint="eastAsia"/>
          <w:sz w:val="21"/>
          <w:szCs w:val="21"/>
        </w:rPr>
        <w:t>投标文件递交的截止时间(投标截止时间)202</w:t>
      </w:r>
      <w:r>
        <w:rPr>
          <w:rFonts w:hint="eastAsia"/>
          <w:sz w:val="21"/>
          <w:szCs w:val="21"/>
          <w:lang w:val="en-US" w:eastAsia="zh-CN"/>
        </w:rPr>
        <w:t>3</w:t>
      </w:r>
      <w:r>
        <w:rPr>
          <w:rFonts w:hint="eastAsia"/>
          <w:sz w:val="21"/>
          <w:szCs w:val="21"/>
        </w:rPr>
        <w:t>年</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日</w:t>
      </w:r>
      <w:r>
        <w:rPr>
          <w:rFonts w:hint="eastAsia"/>
          <w:sz w:val="21"/>
          <w:szCs w:val="21"/>
          <w:u w:val="single"/>
        </w:rPr>
        <w:t xml:space="preserve"> </w:t>
      </w:r>
      <w:r>
        <w:rPr>
          <w:rFonts w:hint="eastAsia"/>
          <w:sz w:val="21"/>
          <w:szCs w:val="21"/>
          <w:u w:val="single"/>
          <w:lang w:val="en-US" w:eastAsia="zh-CN"/>
        </w:rPr>
        <w:t>9</w:t>
      </w:r>
      <w:r>
        <w:rPr>
          <w:rFonts w:hint="eastAsia"/>
          <w:sz w:val="21"/>
          <w:szCs w:val="21"/>
          <w:u w:val="single"/>
        </w:rPr>
        <w:t xml:space="preserve">  </w:t>
      </w:r>
      <w:r>
        <w:rPr>
          <w:rFonts w:hint="eastAsia"/>
          <w:sz w:val="21"/>
          <w:szCs w:val="21"/>
        </w:rPr>
        <w:t>时</w:t>
      </w:r>
      <w:r>
        <w:rPr>
          <w:rFonts w:hint="eastAsia"/>
          <w:sz w:val="21"/>
          <w:szCs w:val="21"/>
          <w:u w:val="single"/>
        </w:rPr>
        <w:t xml:space="preserve"> </w:t>
      </w:r>
      <w:r>
        <w:rPr>
          <w:rFonts w:hint="eastAsia"/>
          <w:sz w:val="21"/>
          <w:szCs w:val="21"/>
          <w:u w:val="single"/>
          <w:lang w:val="en-US" w:eastAsia="zh-CN"/>
        </w:rPr>
        <w:t>00</w:t>
      </w:r>
      <w:r>
        <w:rPr>
          <w:rFonts w:hint="eastAsia"/>
          <w:sz w:val="21"/>
          <w:szCs w:val="21"/>
          <w:u w:val="single"/>
        </w:rPr>
        <w:t xml:space="preserve"> </w:t>
      </w:r>
      <w:r>
        <w:rPr>
          <w:rFonts w:hint="eastAsia"/>
          <w:sz w:val="21"/>
          <w:szCs w:val="21"/>
        </w:rPr>
        <w:t>分，根据疫情防控需要，不接受投标人直接送达投标文件，全部采用邮寄方式送达。</w:t>
      </w:r>
    </w:p>
    <w:p>
      <w:pPr>
        <w:pStyle w:val="62"/>
        <w:tabs>
          <w:tab w:val="left" w:pos="1408"/>
        </w:tabs>
        <w:spacing w:line="360" w:lineRule="auto"/>
        <w:ind w:left="420" w:leftChars="200" w:firstLine="499" w:firstLineChars="238"/>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注：(1) 投标人在投标截止时间前，将纸质投标文件按照招标文件要求密封后</w:t>
      </w:r>
      <w:r>
        <w:rPr>
          <w:rFonts w:hint="eastAsia" w:cs="宋体"/>
          <w:color w:val="000000" w:themeColor="text1"/>
          <w:sz w:val="21"/>
          <w:szCs w:val="21"/>
          <w:highlight w:val="none"/>
          <w:u w:val="none"/>
          <w:lang w:val="en-US" w:eastAsia="zh-CN" w:bidi="ar-SA"/>
          <w14:textFill>
            <w14:solidFill>
              <w14:schemeClr w14:val="tx1"/>
            </w14:solidFill>
          </w14:textFill>
        </w:rPr>
        <w:t>（快递外包装上务必注明项目名称，不需注明投标单位名称等相关信息）</w:t>
      </w:r>
      <w:r>
        <w:rPr>
          <w:rFonts w:hint="eastAsia"/>
          <w:color w:val="000000" w:themeColor="text1"/>
          <w:sz w:val="21"/>
          <w:szCs w:val="21"/>
          <w:highlight w:val="none"/>
          <w14:textFill>
            <w14:solidFill>
              <w14:schemeClr w14:val="tx1"/>
            </w14:solidFill>
          </w14:textFill>
        </w:rPr>
        <w:t>，通过邮寄快递（建议顺丰、邮政）方式递交至招标代理单位(不得递交海盐县公共资源交易中心)。邮寄地址：</w:t>
      </w:r>
      <w:r>
        <w:rPr>
          <w:rFonts w:hint="eastAsia"/>
          <w:color w:val="000000" w:themeColor="text1"/>
          <w:sz w:val="21"/>
          <w:szCs w:val="21"/>
          <w:highlight w:val="none"/>
          <w:u w:val="single"/>
          <w:lang w:val="en-US" w:eastAsia="zh-CN"/>
          <w14:textFill>
            <w14:solidFill>
              <w14:schemeClr w14:val="tx1"/>
            </w14:solidFill>
          </w14:textFill>
        </w:rPr>
        <w:t>浙江省嘉兴市海盐县人民医院迁建工程项目部（滨海大道与乐园路交叉口）</w:t>
      </w:r>
      <w:r>
        <w:rPr>
          <w:rFonts w:hint="eastAsia"/>
          <w:color w:val="000000" w:themeColor="text1"/>
          <w:sz w:val="21"/>
          <w:szCs w:val="21"/>
          <w:highlight w:val="none"/>
          <w14:textFill>
            <w14:solidFill>
              <w14:schemeClr w14:val="tx1"/>
            </w14:solidFill>
          </w14:textFill>
        </w:rPr>
        <w:t>，收件人：</w:t>
      </w:r>
      <w:r>
        <w:rPr>
          <w:rFonts w:hint="eastAsia"/>
          <w:color w:val="000000" w:themeColor="text1"/>
          <w:sz w:val="21"/>
          <w:szCs w:val="21"/>
          <w:highlight w:val="cyan"/>
          <w:u w:val="single"/>
          <w14:textFill>
            <w14:solidFill>
              <w14:schemeClr w14:val="tx1"/>
            </w14:solidFill>
          </w14:textFill>
        </w:rPr>
        <w:t>谢亚东</w:t>
      </w:r>
      <w:r>
        <w:rPr>
          <w:rFonts w:hint="eastAsia"/>
          <w:color w:val="000000" w:themeColor="text1"/>
          <w:sz w:val="21"/>
          <w:szCs w:val="21"/>
          <w:highlight w:val="none"/>
          <w14:textFill>
            <w14:solidFill>
              <w14:schemeClr w14:val="tx1"/>
            </w14:solidFill>
          </w14:textFill>
        </w:rPr>
        <w:t>，联系电话：</w:t>
      </w:r>
      <w:r>
        <w:rPr>
          <w:rFonts w:hint="eastAsia"/>
          <w:color w:val="000000" w:themeColor="text1"/>
          <w:sz w:val="21"/>
          <w:szCs w:val="21"/>
          <w:highlight w:val="cyan"/>
          <w:u w:val="single"/>
          <w14:textFill>
            <w14:solidFill>
              <w14:schemeClr w14:val="tx1"/>
            </w14:solidFill>
          </w14:textFill>
        </w:rPr>
        <w:t>18868042585。</w:t>
      </w:r>
      <w:r>
        <w:rPr>
          <w:rFonts w:hint="eastAsia"/>
          <w:color w:val="000000" w:themeColor="text1"/>
          <w:sz w:val="21"/>
          <w:szCs w:val="21"/>
          <w:highlight w:val="none"/>
          <w14:textFill>
            <w14:solidFill>
              <w14:schemeClr w14:val="tx1"/>
            </w14:solidFill>
          </w14:textFill>
        </w:rPr>
        <w:t>邮寄快递以代理机构经办人</w:t>
      </w:r>
      <w:r>
        <w:rPr>
          <w:rFonts w:hint="eastAsia"/>
          <w:color w:val="000000" w:themeColor="text1"/>
          <w:sz w:val="21"/>
          <w:szCs w:val="21"/>
          <w:highlight w:val="none"/>
          <w:u w:val="single"/>
          <w14:textFill>
            <w14:solidFill>
              <w14:schemeClr w14:val="tx1"/>
            </w14:solidFill>
          </w14:textFill>
        </w:rPr>
        <w:t>谢亚东</w:t>
      </w:r>
      <w:r>
        <w:rPr>
          <w:rFonts w:hint="eastAsia"/>
          <w:color w:val="000000" w:themeColor="text1"/>
          <w:sz w:val="21"/>
          <w:szCs w:val="21"/>
          <w:highlight w:val="none"/>
          <w14:textFill>
            <w14:solidFill>
              <w14:schemeClr w14:val="tx1"/>
            </w14:solidFill>
          </w14:textFill>
        </w:rPr>
        <w:t>收到快递并现场签收时间为准（代签无效）。由于疫情期间各地快递可能会有所延迟，投标人应充分考虑疫情因素对投标文件制作的影响及邮寄投标文件所需的时间。至投标截止时间，所有未邮寄到达上述指定地点的投标文件，视作投标人主动放弃。邮寄快递应满足本地区疫情防控的要求，产生任何不利均由投标单位负责。</w:t>
      </w:r>
    </w:p>
    <w:p>
      <w:pPr>
        <w:pStyle w:val="62"/>
        <w:tabs>
          <w:tab w:val="left" w:pos="1408"/>
        </w:tabs>
        <w:spacing w:line="360" w:lineRule="auto"/>
        <w:ind w:left="420" w:leftChars="200" w:firstLine="478" w:firstLineChars="228"/>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投标文件中受托人姓名、手机号码等联系方式(联系方式须另附纸张与投标文件一起邮寄)，以供评标委员会在评审过程中需投标人对投标文件作出澄清、说明或者补正时联系，评标委员会可要求投标人在接到电话通知后30分钟内通过电子邮件、电话录音、微信、QQ等形式作出回复。</w:t>
      </w:r>
    </w:p>
    <w:p>
      <w:pPr>
        <w:pStyle w:val="62"/>
        <w:numPr>
          <w:ilvl w:val="1"/>
          <w:numId w:val="2"/>
        </w:numPr>
        <w:tabs>
          <w:tab w:val="left" w:pos="1408"/>
        </w:tabs>
        <w:spacing w:line="360" w:lineRule="auto"/>
        <w:ind w:left="1407"/>
        <w:rPr>
          <w:sz w:val="21"/>
          <w:szCs w:val="21"/>
        </w:rPr>
      </w:pPr>
      <w:r>
        <w:rPr>
          <w:rFonts w:hint="eastAsia"/>
          <w:sz w:val="21"/>
          <w:szCs w:val="21"/>
        </w:rPr>
        <w:t>逾期送达的或者未送达指定地点的投标文件，招标人不予受理。</w:t>
      </w:r>
    </w:p>
    <w:p>
      <w:pPr>
        <w:pStyle w:val="7"/>
        <w:numPr>
          <w:ilvl w:val="0"/>
          <w:numId w:val="2"/>
        </w:numPr>
        <w:tabs>
          <w:tab w:val="left" w:pos="801"/>
        </w:tabs>
        <w:spacing w:line="360" w:lineRule="auto"/>
        <w:rPr>
          <w:b/>
          <w:bCs/>
        </w:rPr>
      </w:pPr>
      <w:r>
        <w:rPr>
          <w:rFonts w:hint="eastAsia"/>
          <w:b/>
          <w:bCs/>
        </w:rPr>
        <w:t>发布公告的媒介</w:t>
      </w:r>
    </w:p>
    <w:p>
      <w:pPr>
        <w:pStyle w:val="12"/>
        <w:spacing w:line="360" w:lineRule="auto"/>
        <w:ind w:left="561" w:right="440" w:firstLine="488"/>
      </w:pPr>
      <w:r>
        <w:rPr>
          <w:rFonts w:hint="eastAsia"/>
        </w:rPr>
        <w:t xml:space="preserve">招标公告及相关信息在全国公共资源交易平台（浙江省公共资源交易服务平台）（浙江政务服务网 ） </w:t>
      </w:r>
      <w:r>
        <w:fldChar w:fldCharType="begin"/>
      </w:r>
      <w:r>
        <w:instrText xml:space="preserve"> HYPERLINK "http://zjpubservice.zjzwfw.gov.cn/" \h </w:instrText>
      </w:r>
      <w:r>
        <w:fldChar w:fldCharType="separate"/>
      </w:r>
      <w:r>
        <w:rPr>
          <w:rFonts w:hint="eastAsia"/>
        </w:rPr>
        <w:t xml:space="preserve">http://zjpubservice.zjzwfw.gov.cn </w:t>
      </w:r>
      <w:r>
        <w:rPr>
          <w:rFonts w:hint="eastAsia"/>
        </w:rPr>
        <w:fldChar w:fldCharType="end"/>
      </w:r>
      <w:r>
        <w:rPr>
          <w:rFonts w:hint="eastAsia"/>
        </w:rPr>
        <w:t>、</w:t>
      </w:r>
      <w:r>
        <w:rPr>
          <w:rFonts w:hint="eastAsia"/>
          <w:szCs w:val="22"/>
        </w:rPr>
        <w:t>嘉兴市公共资源交易网（海盐）</w:t>
      </w:r>
      <w:r>
        <w:rPr>
          <w:rFonts w:hint="eastAsia"/>
        </w:rPr>
        <w:t>（</w:t>
      </w:r>
      <w:r>
        <w:fldChar w:fldCharType="begin"/>
      </w:r>
      <w:r>
        <w:instrText xml:space="preserve"> HYPERLINK "http://jxszwsjb.jiaxing.gov.cn/hymain/" \h </w:instrText>
      </w:r>
      <w:r>
        <w:fldChar w:fldCharType="separate"/>
      </w:r>
      <w:r>
        <w:rPr>
          <w:rFonts w:hint="eastAsia"/>
        </w:rPr>
        <w:t>http://jxszwsjb.jiaxing.gov.cn/hymain/</w:t>
      </w:r>
      <w:r>
        <w:rPr>
          <w:rFonts w:hint="eastAsia"/>
        </w:rPr>
        <w:fldChar w:fldCharType="end"/>
      </w:r>
      <w:r>
        <w:rPr>
          <w:rFonts w:hint="eastAsia"/>
        </w:rPr>
        <w:t>）上发布。投标单位请在</w:t>
      </w:r>
      <w:r>
        <w:rPr>
          <w:rFonts w:hint="eastAsia"/>
          <w:szCs w:val="22"/>
        </w:rPr>
        <w:t>嘉兴市公共资源交易网（海盐）</w:t>
      </w:r>
      <w:r>
        <w:rPr>
          <w:rFonts w:hint="eastAsia"/>
        </w:rPr>
        <w:t>（</w:t>
      </w:r>
      <w:r>
        <w:fldChar w:fldCharType="begin"/>
      </w:r>
      <w:r>
        <w:instrText xml:space="preserve"> HYPERLINK "http://jxszwsjb.jiaxing.gov.cn/hymain/" \h </w:instrText>
      </w:r>
      <w:r>
        <w:fldChar w:fldCharType="separate"/>
      </w:r>
      <w:r>
        <w:rPr>
          <w:rFonts w:hint="eastAsia"/>
        </w:rPr>
        <w:t>http://jxszwsjb.jiaxing.gov.cn/hymain/</w:t>
      </w:r>
      <w:r>
        <w:rPr>
          <w:rFonts w:hint="eastAsia"/>
        </w:rPr>
        <w:fldChar w:fldCharType="end"/>
      </w:r>
      <w:r>
        <w:rPr>
          <w:rFonts w:hint="eastAsia"/>
        </w:rPr>
        <w:t>）登录入口上操作。</w:t>
      </w:r>
    </w:p>
    <w:p>
      <w:pPr>
        <w:pStyle w:val="7"/>
        <w:numPr>
          <w:ilvl w:val="0"/>
          <w:numId w:val="2"/>
        </w:numPr>
        <w:tabs>
          <w:tab w:val="left" w:pos="801"/>
        </w:tabs>
        <w:spacing w:line="360" w:lineRule="auto"/>
        <w:rPr>
          <w:b/>
          <w:bCs/>
        </w:rPr>
      </w:pPr>
      <w:r>
        <w:rPr>
          <w:rFonts w:hint="eastAsia"/>
          <w:b/>
          <w:bCs/>
        </w:rPr>
        <w:t>联系方式</w:t>
      </w:r>
    </w:p>
    <w:p>
      <w:pPr>
        <w:pStyle w:val="12"/>
        <w:tabs>
          <w:tab w:val="left" w:pos="5179"/>
        </w:tabs>
        <w:spacing w:line="360" w:lineRule="auto"/>
        <w:ind w:left="560"/>
      </w:pPr>
      <w:r>
        <w:rPr>
          <w:rFonts w:hint="eastAsia"/>
        </w:rPr>
        <w:t>招</w:t>
      </w:r>
      <w:r>
        <w:rPr>
          <w:rFonts w:hint="eastAsia"/>
          <w:spacing w:val="-4"/>
        </w:rPr>
        <w:t xml:space="preserve"> </w:t>
      </w:r>
      <w:r>
        <w:rPr>
          <w:rFonts w:hint="eastAsia"/>
        </w:rPr>
        <w:t>标</w:t>
      </w:r>
      <w:r>
        <w:rPr>
          <w:rFonts w:hint="eastAsia"/>
          <w:spacing w:val="-3"/>
        </w:rPr>
        <w:t xml:space="preserve"> </w:t>
      </w:r>
      <w:r>
        <w:rPr>
          <w:rFonts w:hint="eastAsia"/>
        </w:rPr>
        <w:t>人：</w:t>
      </w:r>
      <w:r>
        <w:rPr>
          <w:rFonts w:hint="eastAsia"/>
          <w:u w:val="single"/>
        </w:rPr>
        <w:t xml:space="preserve">海盐县人民医院              </w:t>
      </w:r>
      <w:r>
        <w:rPr>
          <w:rFonts w:hint="eastAsia"/>
        </w:rPr>
        <w:tab/>
      </w:r>
      <w:r>
        <w:rPr>
          <w:rFonts w:hint="eastAsia"/>
        </w:rPr>
        <w:t>招标代理机构：</w:t>
      </w:r>
      <w:r>
        <w:rPr>
          <w:rFonts w:hint="eastAsia"/>
          <w:u w:val="single"/>
        </w:rPr>
        <w:t>五洲工程顾问集团有限公司</w:t>
      </w:r>
    </w:p>
    <w:p>
      <w:pPr>
        <w:pStyle w:val="12"/>
        <w:spacing w:line="360" w:lineRule="auto"/>
        <w:ind w:left="560"/>
        <w:rPr>
          <w:highlight w:val="none"/>
        </w:rPr>
      </w:pPr>
      <w:r>
        <w:rPr>
          <w:rFonts w:hint="eastAsia"/>
          <w:spacing w:val="18"/>
          <w:w w:val="95"/>
        </w:rPr>
        <w:t>地 址：</w:t>
      </w:r>
      <w:r>
        <w:rPr>
          <w:rFonts w:hint="eastAsia"/>
          <w:u w:val="single"/>
        </w:rPr>
        <w:t>海盐县武原街道中兴路9号</w:t>
      </w:r>
      <w:r>
        <w:rPr>
          <w:rFonts w:hint="eastAsia"/>
          <w:spacing w:val="75"/>
          <w:w w:val="95"/>
          <w:u w:val="single"/>
        </w:rPr>
        <w:t xml:space="preserve">  </w:t>
      </w:r>
      <w:r>
        <w:rPr>
          <w:rFonts w:hint="eastAsia"/>
          <w:spacing w:val="75"/>
          <w:w w:val="95"/>
          <w:u w:val="none"/>
        </w:rPr>
        <w:t xml:space="preserve"> </w:t>
      </w:r>
      <w:r>
        <w:rPr>
          <w:rFonts w:hint="eastAsia"/>
          <w:spacing w:val="75"/>
          <w:w w:val="95"/>
          <w:u w:val="none"/>
          <w:lang w:val="en-US" w:eastAsia="zh-CN"/>
        </w:rPr>
        <w:t xml:space="preserve">   </w:t>
      </w:r>
      <w:r>
        <w:rPr>
          <w:rFonts w:hint="eastAsia"/>
        </w:rPr>
        <w:t>地 址：</w:t>
      </w:r>
      <w:r>
        <w:rPr>
          <w:rFonts w:hint="eastAsia"/>
          <w:u w:val="single"/>
        </w:rPr>
        <w:t>杭州市东信大</w:t>
      </w:r>
      <w:r>
        <w:rPr>
          <w:rFonts w:hint="eastAsia"/>
          <w:highlight w:val="none"/>
          <w:u w:val="single"/>
        </w:rPr>
        <w:t xml:space="preserve">道688号志成大厦13楼 </w:t>
      </w:r>
    </w:p>
    <w:p>
      <w:pPr>
        <w:pStyle w:val="12"/>
        <w:tabs>
          <w:tab w:val="left" w:pos="4547"/>
          <w:tab w:val="left" w:pos="5074"/>
          <w:tab w:val="left" w:pos="9273"/>
        </w:tabs>
        <w:spacing w:line="360" w:lineRule="auto"/>
        <w:ind w:left="560"/>
        <w:rPr>
          <w:highlight w:val="none"/>
        </w:rPr>
      </w:pPr>
      <w:r>
        <w:rPr>
          <w:rFonts w:hint="eastAsia"/>
          <w:highlight w:val="none"/>
        </w:rPr>
        <w:t>联</w:t>
      </w:r>
      <w:r>
        <w:rPr>
          <w:rFonts w:hint="eastAsia"/>
          <w:spacing w:val="-2"/>
          <w:highlight w:val="none"/>
        </w:rPr>
        <w:t xml:space="preserve"> </w:t>
      </w:r>
      <w:r>
        <w:rPr>
          <w:rFonts w:hint="eastAsia"/>
          <w:highlight w:val="none"/>
        </w:rPr>
        <w:t>系</w:t>
      </w:r>
      <w:r>
        <w:rPr>
          <w:rFonts w:hint="eastAsia"/>
          <w:spacing w:val="-2"/>
          <w:highlight w:val="none"/>
        </w:rPr>
        <w:t xml:space="preserve"> </w:t>
      </w:r>
      <w:r>
        <w:rPr>
          <w:rFonts w:hint="eastAsia"/>
          <w:highlight w:val="none"/>
        </w:rPr>
        <w:t>人：</w:t>
      </w:r>
      <w:r>
        <w:rPr>
          <w:rFonts w:hint="eastAsia"/>
          <w:highlight w:val="none"/>
          <w:u w:val="single"/>
        </w:rPr>
        <w:t xml:space="preserve">顾雪祥                       </w:t>
      </w:r>
      <w:r>
        <w:rPr>
          <w:rFonts w:hint="eastAsia"/>
          <w:highlight w:val="none"/>
        </w:rPr>
        <w:tab/>
      </w:r>
      <w:r>
        <w:rPr>
          <w:rFonts w:hint="eastAsia"/>
          <w:highlight w:val="none"/>
        </w:rPr>
        <w:t xml:space="preserve"> 联</w:t>
      </w:r>
      <w:r>
        <w:rPr>
          <w:rFonts w:hint="eastAsia"/>
          <w:spacing w:val="-2"/>
          <w:highlight w:val="none"/>
        </w:rPr>
        <w:t xml:space="preserve"> </w:t>
      </w:r>
      <w:r>
        <w:rPr>
          <w:rFonts w:hint="eastAsia"/>
          <w:highlight w:val="none"/>
        </w:rPr>
        <w:t>系 人：</w:t>
      </w:r>
      <w:r>
        <w:rPr>
          <w:rFonts w:hint="eastAsia"/>
          <w:highlight w:val="none"/>
          <w:u w:val="single"/>
          <w:lang w:eastAsia="zh-CN"/>
        </w:rPr>
        <w:t>周海飞、</w:t>
      </w:r>
      <w:r>
        <w:rPr>
          <w:rFonts w:hint="eastAsia"/>
          <w:highlight w:val="none"/>
          <w:u w:val="single"/>
        </w:rPr>
        <w:t>张少华</w:t>
      </w:r>
      <w:r>
        <w:rPr>
          <w:rFonts w:hint="eastAsia"/>
          <w:highlight w:val="none"/>
          <w:u w:val="single"/>
        </w:rPr>
        <w:tab/>
      </w:r>
      <w:r>
        <w:rPr>
          <w:rFonts w:hint="eastAsia"/>
          <w:highlight w:val="none"/>
          <w:u w:val="single"/>
        </w:rPr>
        <w:t xml:space="preserve">   </w:t>
      </w:r>
    </w:p>
    <w:p>
      <w:pPr>
        <w:pStyle w:val="12"/>
        <w:tabs>
          <w:tab w:val="left" w:pos="1188"/>
          <w:tab w:val="left" w:pos="4444"/>
          <w:tab w:val="left" w:pos="5179"/>
          <w:tab w:val="left" w:pos="5808"/>
          <w:tab w:val="left" w:pos="9587"/>
        </w:tabs>
        <w:spacing w:line="360" w:lineRule="auto"/>
        <w:ind w:left="560"/>
      </w:pPr>
      <w:r>
        <w:rPr>
          <w:rFonts w:hint="eastAsia"/>
          <w:highlight w:val="none"/>
        </w:rPr>
        <w:t>电</w:t>
      </w:r>
      <w:r>
        <w:rPr>
          <w:rFonts w:hint="eastAsia"/>
          <w:highlight w:val="none"/>
        </w:rPr>
        <w:tab/>
      </w:r>
      <w:r>
        <w:rPr>
          <w:rFonts w:hint="eastAsia"/>
          <w:highlight w:val="none"/>
        </w:rPr>
        <w:t>话：</w:t>
      </w:r>
      <w:r>
        <w:rPr>
          <w:rFonts w:hint="eastAsia"/>
          <w:highlight w:val="none"/>
          <w:u w:val="single"/>
        </w:rPr>
        <w:t xml:space="preserve"> 17772793702             </w:t>
      </w:r>
      <w:r>
        <w:rPr>
          <w:rFonts w:hint="eastAsia"/>
          <w:highlight w:val="none"/>
        </w:rPr>
        <w:tab/>
      </w:r>
      <w:r>
        <w:rPr>
          <w:rFonts w:hint="eastAsia"/>
          <w:highlight w:val="none"/>
        </w:rPr>
        <w:t xml:space="preserve">       电</w:t>
      </w:r>
      <w:r>
        <w:rPr>
          <w:rFonts w:hint="eastAsia"/>
          <w:highlight w:val="none"/>
        </w:rPr>
        <w:tab/>
      </w:r>
      <w:r>
        <w:rPr>
          <w:rFonts w:hint="eastAsia"/>
          <w:highlight w:val="none"/>
        </w:rPr>
        <w:t>话：</w:t>
      </w:r>
      <w:r>
        <w:rPr>
          <w:rFonts w:hint="eastAsia"/>
          <w:highlight w:val="none"/>
          <w:u w:val="single"/>
          <w:lang w:val="en-US" w:eastAsia="zh-CN"/>
        </w:rPr>
        <w:t>13666637236、</w:t>
      </w:r>
      <w:r>
        <w:rPr>
          <w:rFonts w:hint="eastAsia"/>
          <w:highlight w:val="none"/>
          <w:u w:val="single"/>
        </w:rPr>
        <w:t xml:space="preserve">13588475917      </w:t>
      </w:r>
      <w:r>
        <w:rPr>
          <w:rFonts w:hint="eastAsia"/>
          <w:u w:val="single"/>
        </w:rPr>
        <w:t xml:space="preserve">               </w:t>
      </w:r>
    </w:p>
    <w:p>
      <w:pPr>
        <w:pStyle w:val="12"/>
        <w:tabs>
          <w:tab w:val="left" w:pos="1188"/>
          <w:tab w:val="left" w:pos="2659"/>
          <w:tab w:val="left" w:pos="4547"/>
          <w:tab w:val="left" w:pos="5074"/>
          <w:tab w:val="left" w:pos="5705"/>
          <w:tab w:val="left" w:pos="7174"/>
          <w:tab w:val="left" w:pos="9484"/>
        </w:tabs>
        <w:spacing w:line="360" w:lineRule="auto"/>
        <w:ind w:left="560"/>
      </w:pPr>
      <w:r>
        <w:rPr>
          <w:rFonts w:hint="eastAsia"/>
        </w:rPr>
        <w:t>传</w:t>
      </w:r>
      <w:r>
        <w:rPr>
          <w:rFonts w:hint="eastAsia"/>
        </w:rPr>
        <w:tab/>
      </w:r>
      <w:r>
        <w:rPr>
          <w:rFonts w:hint="eastAsia"/>
        </w:rPr>
        <w:t>真：</w:t>
      </w:r>
      <w:r>
        <w:rPr>
          <w:rFonts w:hint="eastAsia"/>
          <w:u w:val="single"/>
        </w:rPr>
        <w:tab/>
      </w:r>
      <w:r>
        <w:rPr>
          <w:rFonts w:hint="eastAsia"/>
          <w:u w:val="single"/>
        </w:rPr>
        <w:t>/</w:t>
      </w:r>
      <w:r>
        <w:rPr>
          <w:rFonts w:hint="eastAsia"/>
          <w:u w:val="single"/>
        </w:rPr>
        <w:tab/>
      </w:r>
      <w:r>
        <w:rPr>
          <w:rFonts w:hint="eastAsia"/>
        </w:rPr>
        <w:tab/>
      </w:r>
      <w:r>
        <w:rPr>
          <w:rFonts w:hint="eastAsia"/>
        </w:rPr>
        <w:t xml:space="preserve"> 传</w:t>
      </w:r>
      <w:r>
        <w:rPr>
          <w:rFonts w:hint="eastAsia"/>
        </w:rPr>
        <w:tab/>
      </w:r>
      <w:r>
        <w:rPr>
          <w:rFonts w:hint="eastAsia"/>
        </w:rPr>
        <w:t>真：</w:t>
      </w:r>
      <w:r>
        <w:rPr>
          <w:rFonts w:hint="eastAsia"/>
          <w:u w:val="single"/>
        </w:rPr>
        <w:tab/>
      </w:r>
      <w:r>
        <w:rPr>
          <w:rFonts w:hint="eastAsia"/>
          <w:u w:val="single"/>
        </w:rPr>
        <w:t>/</w:t>
      </w:r>
      <w:r>
        <w:rPr>
          <w:rFonts w:hint="eastAsia"/>
          <w:u w:val="single"/>
        </w:rPr>
        <w:tab/>
      </w:r>
      <w:r>
        <w:rPr>
          <w:rFonts w:hint="eastAsia"/>
          <w:u w:val="single"/>
        </w:rPr>
        <w:t xml:space="preserve"> </w:t>
      </w:r>
    </w:p>
    <w:p>
      <w:pPr>
        <w:pStyle w:val="12"/>
        <w:spacing w:line="360" w:lineRule="auto"/>
        <w:ind w:right="626"/>
        <w:jc w:val="right"/>
      </w:pPr>
      <w:r>
        <w:rPr>
          <w:rFonts w:hint="eastAsia"/>
          <w:w w:val="95"/>
          <w:u w:val="single"/>
        </w:rPr>
        <w:t>202</w:t>
      </w:r>
      <w:r>
        <w:rPr>
          <w:rFonts w:hint="eastAsia"/>
          <w:w w:val="95"/>
          <w:u w:val="single"/>
          <w:lang w:val="en-US" w:eastAsia="zh-CN"/>
        </w:rPr>
        <w:t>3</w:t>
      </w:r>
      <w:r>
        <w:rPr>
          <w:rFonts w:hint="eastAsia"/>
          <w:spacing w:val="-23"/>
          <w:w w:val="95"/>
        </w:rPr>
        <w:t xml:space="preserve"> 年</w:t>
      </w:r>
      <w:r>
        <w:rPr>
          <w:rFonts w:hint="eastAsia"/>
          <w:spacing w:val="-23"/>
          <w:w w:val="95"/>
          <w:u w:val="single"/>
          <w:lang w:val="en-US" w:eastAsia="zh-CN"/>
        </w:rPr>
        <w:t xml:space="preserve">  </w:t>
      </w:r>
      <w:r>
        <w:rPr>
          <w:rFonts w:hint="eastAsia"/>
          <w:w w:val="95"/>
        </w:rPr>
        <w:t>月</w:t>
      </w:r>
      <w:r>
        <w:rPr>
          <w:rFonts w:hint="eastAsia"/>
          <w:w w:val="95"/>
          <w:u w:val="single"/>
          <w:lang w:val="en-US" w:eastAsia="zh-CN"/>
        </w:rPr>
        <w:t xml:space="preserve">  </w:t>
      </w:r>
      <w:r>
        <w:rPr>
          <w:rFonts w:hint="eastAsia"/>
          <w:w w:val="95"/>
        </w:rPr>
        <w:t>日</w:t>
      </w:r>
    </w:p>
    <w:p>
      <w:pPr>
        <w:jc w:val="right"/>
        <w:sectPr>
          <w:pgSz w:w="11910" w:h="16840"/>
          <w:pgMar w:top="1540" w:right="1134" w:bottom="1180" w:left="880" w:header="0" w:footer="913" w:gutter="0"/>
          <w:pgNumType w:fmt="decimal"/>
          <w:cols w:space="720" w:num="1"/>
        </w:sectPr>
      </w:pPr>
    </w:p>
    <w:p>
      <w:pPr>
        <w:tabs>
          <w:tab w:val="left" w:pos="3559"/>
        </w:tabs>
        <w:spacing w:before="30" w:after="8"/>
        <w:ind w:left="560"/>
        <w:rPr>
          <w:sz w:val="30"/>
        </w:rPr>
      </w:pPr>
      <w:bookmarkStart w:id="7" w:name="第二章__投标人须知"/>
      <w:bookmarkEnd w:id="7"/>
      <w:r>
        <w:rPr>
          <w:rFonts w:hint="eastAsia"/>
          <w:sz w:val="24"/>
        </w:rPr>
        <w:t>附件一：</w:t>
      </w:r>
      <w:r>
        <w:rPr>
          <w:rFonts w:hint="eastAsia"/>
          <w:sz w:val="24"/>
        </w:rPr>
        <w:tab/>
      </w:r>
      <w:r>
        <w:rPr>
          <w:rFonts w:hint="eastAsia"/>
          <w:sz w:val="30"/>
        </w:rPr>
        <w:t>资格审查强制性资格条件标准</w:t>
      </w:r>
    </w:p>
    <w:p/>
    <w:tbl>
      <w:tblPr>
        <w:tblStyle w:val="6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978"/>
        <w:gridCol w:w="73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704" w:type="dxa"/>
            <w:vAlign w:val="center"/>
          </w:tcPr>
          <w:p>
            <w:pPr>
              <w:pStyle w:val="63"/>
              <w:spacing w:before="1" w:line="360" w:lineRule="auto"/>
              <w:jc w:val="center"/>
              <w:rPr>
                <w:sz w:val="21"/>
                <w:szCs w:val="21"/>
              </w:rPr>
            </w:pPr>
            <w:r>
              <w:rPr>
                <w:rFonts w:hint="eastAsia"/>
                <w:sz w:val="21"/>
                <w:szCs w:val="21"/>
              </w:rPr>
              <w:t>序号</w:t>
            </w:r>
          </w:p>
        </w:tc>
        <w:tc>
          <w:tcPr>
            <w:tcW w:w="1978" w:type="dxa"/>
            <w:vAlign w:val="center"/>
          </w:tcPr>
          <w:p>
            <w:pPr>
              <w:pStyle w:val="63"/>
              <w:spacing w:before="1" w:line="360" w:lineRule="auto"/>
              <w:ind w:right="262"/>
              <w:jc w:val="center"/>
              <w:rPr>
                <w:sz w:val="21"/>
                <w:szCs w:val="21"/>
              </w:rPr>
            </w:pPr>
            <w:r>
              <w:rPr>
                <w:rFonts w:hint="eastAsia"/>
                <w:sz w:val="21"/>
                <w:szCs w:val="21"/>
              </w:rPr>
              <w:t>项目内容</w:t>
            </w:r>
          </w:p>
        </w:tc>
        <w:tc>
          <w:tcPr>
            <w:tcW w:w="7344" w:type="dxa"/>
            <w:vAlign w:val="center"/>
          </w:tcPr>
          <w:p>
            <w:pPr>
              <w:widowControl/>
              <w:spacing w:line="36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合格条件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jc w:val="center"/>
        </w:trPr>
        <w:tc>
          <w:tcPr>
            <w:tcW w:w="704" w:type="dxa"/>
            <w:vAlign w:val="center"/>
          </w:tcPr>
          <w:p>
            <w:pPr>
              <w:pStyle w:val="63"/>
              <w:spacing w:before="1" w:line="360" w:lineRule="auto"/>
              <w:jc w:val="center"/>
              <w:rPr>
                <w:sz w:val="21"/>
                <w:szCs w:val="21"/>
              </w:rPr>
            </w:pPr>
            <w:r>
              <w:rPr>
                <w:rFonts w:hint="eastAsia"/>
                <w:w w:val="99"/>
                <w:sz w:val="21"/>
                <w:szCs w:val="21"/>
              </w:rPr>
              <w:t>1</w:t>
            </w:r>
          </w:p>
        </w:tc>
        <w:tc>
          <w:tcPr>
            <w:tcW w:w="1978" w:type="dxa"/>
            <w:vAlign w:val="center"/>
          </w:tcPr>
          <w:p>
            <w:pPr>
              <w:pStyle w:val="63"/>
              <w:spacing w:before="1" w:line="360" w:lineRule="auto"/>
              <w:ind w:right="262"/>
              <w:jc w:val="center"/>
              <w:rPr>
                <w:sz w:val="21"/>
                <w:szCs w:val="21"/>
                <w:highlight w:val="none"/>
              </w:rPr>
            </w:pPr>
            <w:r>
              <w:rPr>
                <w:rFonts w:hint="eastAsia"/>
                <w:sz w:val="21"/>
                <w:szCs w:val="21"/>
                <w:highlight w:val="none"/>
              </w:rPr>
              <w:t>资质要求</w:t>
            </w:r>
          </w:p>
        </w:tc>
        <w:tc>
          <w:tcPr>
            <w:tcW w:w="7344" w:type="dxa"/>
          </w:tcPr>
          <w:p>
            <w:pPr>
              <w:pStyle w:val="62"/>
              <w:tabs>
                <w:tab w:val="left" w:pos="1364"/>
              </w:tabs>
              <w:spacing w:line="336" w:lineRule="auto"/>
              <w:ind w:left="0" w:firstLine="0"/>
              <w:rPr>
                <w:sz w:val="21"/>
                <w:szCs w:val="21"/>
                <w:highlight w:val="none"/>
              </w:rPr>
            </w:pPr>
            <w:r>
              <w:rPr>
                <w:rFonts w:hint="eastAsia"/>
                <w:sz w:val="21"/>
                <w:szCs w:val="21"/>
                <w:highlight w:val="none"/>
              </w:rPr>
              <w:t>1、投标人具有独立法人资格的厨房设备制造商或供货商；</w:t>
            </w:r>
          </w:p>
          <w:p>
            <w:pPr>
              <w:widowControl/>
              <w:spacing w:line="360" w:lineRule="auto"/>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2、投标人负责人为同一人或者存在控股、管理关系的不同单位，不得同时参加本项目投标。</w:t>
            </w:r>
          </w:p>
          <w:p>
            <w:pPr>
              <w:widowControl/>
              <w:spacing w:line="360" w:lineRule="auto"/>
              <w:rPr>
                <w:rFonts w:ascii="Times New Roman" w:hAnsi="Times New Roman" w:eastAsia="宋体" w:cs="Times New Roman"/>
                <w:kern w:val="0"/>
                <w:sz w:val="21"/>
                <w:szCs w:val="21"/>
                <w:highlight w:val="none"/>
              </w:rPr>
            </w:pPr>
            <w:r>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t>提供：营业执照复印件。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704" w:type="dxa"/>
            <w:vAlign w:val="center"/>
          </w:tcPr>
          <w:p>
            <w:pPr>
              <w:pStyle w:val="63"/>
              <w:spacing w:line="360" w:lineRule="auto"/>
              <w:jc w:val="center"/>
              <w:rPr>
                <w:rFonts w:hint="eastAsia" w:eastAsia="宋体"/>
                <w:w w:val="99"/>
                <w:sz w:val="21"/>
                <w:szCs w:val="21"/>
                <w:lang w:val="en-US" w:eastAsia="zh-CN"/>
              </w:rPr>
            </w:pPr>
            <w:r>
              <w:rPr>
                <w:rFonts w:hint="eastAsia"/>
                <w:w w:val="99"/>
                <w:sz w:val="21"/>
                <w:szCs w:val="21"/>
                <w:lang w:val="en-US" w:eastAsia="zh-CN"/>
              </w:rPr>
              <w:t>2</w:t>
            </w:r>
          </w:p>
        </w:tc>
        <w:tc>
          <w:tcPr>
            <w:tcW w:w="1978" w:type="dxa"/>
            <w:vAlign w:val="center"/>
          </w:tcPr>
          <w:p>
            <w:pPr>
              <w:pStyle w:val="63"/>
              <w:spacing w:before="1" w:line="360" w:lineRule="auto"/>
              <w:ind w:right="262"/>
              <w:jc w:val="center"/>
              <w:rPr>
                <w:rFonts w:hint="eastAsia"/>
                <w:sz w:val="21"/>
                <w:szCs w:val="21"/>
                <w:lang w:val="en-US" w:eastAsia="zh-CN"/>
              </w:rPr>
            </w:pPr>
            <w:r>
              <w:rPr>
                <w:rFonts w:hint="eastAsia"/>
                <w:sz w:val="21"/>
                <w:szCs w:val="21"/>
                <w:lang w:val="en-US" w:eastAsia="zh-CN"/>
              </w:rPr>
              <w:t>投标人</w:t>
            </w:r>
          </w:p>
          <w:p>
            <w:pPr>
              <w:pStyle w:val="63"/>
              <w:spacing w:before="1" w:line="360" w:lineRule="auto"/>
              <w:ind w:right="262"/>
              <w:jc w:val="center"/>
              <w:rPr>
                <w:rFonts w:hint="eastAsia"/>
                <w:sz w:val="21"/>
                <w:szCs w:val="21"/>
              </w:rPr>
            </w:pPr>
            <w:r>
              <w:rPr>
                <w:rFonts w:hint="eastAsia"/>
                <w:sz w:val="21"/>
                <w:szCs w:val="21"/>
                <w:lang w:val="en-US" w:eastAsia="zh-CN"/>
              </w:rPr>
              <w:t>业绩</w:t>
            </w:r>
          </w:p>
        </w:tc>
        <w:tc>
          <w:tcPr>
            <w:tcW w:w="7344" w:type="dxa"/>
            <w:vAlign w:val="center"/>
          </w:tcPr>
          <w:p>
            <w:pPr>
              <w:pStyle w:val="63"/>
              <w:spacing w:line="360" w:lineRule="auto"/>
              <w:rPr>
                <w:rFonts w:hint="eastAsia"/>
                <w:sz w:val="21"/>
                <w:szCs w:val="21"/>
                <w:lang w:val="en-US" w:eastAsia="zh-CN"/>
              </w:rPr>
            </w:pPr>
            <w:r>
              <w:rPr>
                <w:rFonts w:hint="eastAsia"/>
                <w:sz w:val="21"/>
                <w:szCs w:val="21"/>
                <w:lang w:val="en-US" w:eastAsia="zh-CN"/>
              </w:rPr>
              <w:t>投标人自2018年1月1日至投标截止日（以完工验收证明材料上的时间为准）完成过单项合同金</w:t>
            </w:r>
            <w:r>
              <w:rPr>
                <w:rFonts w:hint="eastAsia"/>
                <w:sz w:val="21"/>
                <w:szCs w:val="21"/>
                <w:highlight w:val="none"/>
                <w:lang w:val="en-US" w:eastAsia="zh-CN"/>
              </w:rPr>
              <w:t>额150万元及</w:t>
            </w:r>
            <w:r>
              <w:rPr>
                <w:rFonts w:hint="eastAsia"/>
                <w:sz w:val="21"/>
                <w:szCs w:val="21"/>
                <w:lang w:val="en-US" w:eastAsia="zh-CN"/>
              </w:rPr>
              <w:t>以上的</w:t>
            </w:r>
            <w:r>
              <w:rPr>
                <w:rFonts w:hint="eastAsia" w:ascii="宋体" w:hAnsi="宋体" w:eastAsia="宋体" w:cs="宋体"/>
                <w:color w:val="000000" w:themeColor="text1"/>
                <w:sz w:val="21"/>
                <w:szCs w:val="21"/>
                <w:highlight w:val="cyan"/>
                <w:u w:val="none"/>
                <w:lang w:val="en-US" w:eastAsia="zh-CN"/>
                <w14:textFill>
                  <w14:solidFill>
                    <w14:schemeClr w14:val="tx1"/>
                  </w14:solidFill>
                </w14:textFill>
              </w:rPr>
              <w:t>厨房设施设备项目</w:t>
            </w:r>
            <w:r>
              <w:rPr>
                <w:rFonts w:hint="eastAsia" w:cs="宋体"/>
                <w:color w:val="000000" w:themeColor="text1"/>
                <w:sz w:val="21"/>
                <w:szCs w:val="21"/>
                <w:highlight w:val="cyan"/>
                <w:u w:val="none"/>
                <w:lang w:val="en-US" w:eastAsia="zh-CN"/>
                <w14:textFill>
                  <w14:solidFill>
                    <w14:schemeClr w14:val="tx1"/>
                  </w14:solidFill>
                </w14:textFill>
              </w:rPr>
              <w:t>业绩</w:t>
            </w:r>
            <w:r>
              <w:rPr>
                <w:rFonts w:hint="eastAsia"/>
                <w:sz w:val="21"/>
                <w:szCs w:val="21"/>
                <w:highlight w:val="cyan"/>
                <w:lang w:val="en-US" w:eastAsia="zh-CN"/>
              </w:rPr>
              <w:t>的。</w:t>
            </w:r>
          </w:p>
          <w:p>
            <w:pPr>
              <w:pStyle w:val="63"/>
              <w:spacing w:line="360" w:lineRule="auto"/>
              <w:rPr>
                <w:rFonts w:hint="eastAsia"/>
                <w:sz w:val="21"/>
                <w:szCs w:val="21"/>
              </w:rPr>
            </w:pPr>
            <w:r>
              <w:rPr>
                <w:rFonts w:hint="eastAsia"/>
                <w:b/>
                <w:bCs/>
                <w:sz w:val="21"/>
                <w:szCs w:val="21"/>
                <w:lang w:val="en-US" w:eastAsia="zh-CN"/>
              </w:rPr>
              <w:t>提供：中标通知书、合同和完工验收证明材料复印件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704" w:type="dxa"/>
            <w:vAlign w:val="center"/>
          </w:tcPr>
          <w:p>
            <w:pPr>
              <w:pStyle w:val="63"/>
              <w:spacing w:line="360" w:lineRule="auto"/>
              <w:jc w:val="center"/>
              <w:rPr>
                <w:rFonts w:hint="eastAsia" w:eastAsia="宋体"/>
                <w:sz w:val="21"/>
                <w:szCs w:val="21"/>
                <w:lang w:eastAsia="zh-CN"/>
              </w:rPr>
            </w:pPr>
            <w:r>
              <w:rPr>
                <w:rFonts w:hint="eastAsia"/>
                <w:w w:val="99"/>
                <w:sz w:val="21"/>
                <w:szCs w:val="21"/>
                <w:lang w:val="en-US" w:eastAsia="zh-CN"/>
              </w:rPr>
              <w:t>3</w:t>
            </w:r>
          </w:p>
        </w:tc>
        <w:tc>
          <w:tcPr>
            <w:tcW w:w="1978" w:type="dxa"/>
            <w:vAlign w:val="center"/>
          </w:tcPr>
          <w:p>
            <w:pPr>
              <w:pStyle w:val="63"/>
              <w:spacing w:line="360" w:lineRule="auto"/>
              <w:ind w:right="261"/>
              <w:jc w:val="center"/>
              <w:rPr>
                <w:sz w:val="21"/>
                <w:szCs w:val="21"/>
              </w:rPr>
            </w:pPr>
            <w:r>
              <w:rPr>
                <w:rFonts w:hint="eastAsia"/>
                <w:sz w:val="21"/>
                <w:szCs w:val="21"/>
              </w:rPr>
              <w:t>没有被限制投标</w:t>
            </w:r>
          </w:p>
        </w:tc>
        <w:tc>
          <w:tcPr>
            <w:tcW w:w="7344" w:type="dxa"/>
            <w:vAlign w:val="center"/>
          </w:tcPr>
          <w:p>
            <w:pPr>
              <w:pStyle w:val="63"/>
              <w:spacing w:line="360" w:lineRule="auto"/>
              <w:rPr>
                <w:sz w:val="21"/>
                <w:szCs w:val="21"/>
              </w:rPr>
            </w:pPr>
            <w:r>
              <w:rPr>
                <w:rFonts w:hint="eastAsia"/>
                <w:sz w:val="21"/>
                <w:szCs w:val="21"/>
              </w:rPr>
              <w:t>投标人不被有关部门限制、暂停、取消投标资格或不存在不良行为正在公示期限内。（投标人按照招标文件格式提供投标人资格声明函）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vAlign w:val="center"/>
          </w:tcPr>
          <w:p>
            <w:pPr>
              <w:pStyle w:val="63"/>
              <w:spacing w:line="360" w:lineRule="auto"/>
              <w:jc w:val="center"/>
              <w:rPr>
                <w:rFonts w:hint="eastAsia" w:eastAsia="宋体"/>
                <w:sz w:val="21"/>
                <w:szCs w:val="21"/>
                <w:lang w:eastAsia="zh-CN"/>
              </w:rPr>
            </w:pPr>
            <w:r>
              <w:rPr>
                <w:rFonts w:hint="eastAsia"/>
                <w:sz w:val="21"/>
                <w:szCs w:val="21"/>
                <w:lang w:val="en-US" w:eastAsia="zh-CN"/>
              </w:rPr>
              <w:t>4</w:t>
            </w:r>
          </w:p>
        </w:tc>
        <w:tc>
          <w:tcPr>
            <w:tcW w:w="1978" w:type="dxa"/>
            <w:vAlign w:val="center"/>
          </w:tcPr>
          <w:p>
            <w:pPr>
              <w:pStyle w:val="63"/>
              <w:spacing w:line="360" w:lineRule="auto"/>
              <w:ind w:right="262"/>
              <w:jc w:val="center"/>
              <w:rPr>
                <w:sz w:val="21"/>
                <w:szCs w:val="21"/>
              </w:rPr>
            </w:pPr>
            <w:r>
              <w:rPr>
                <w:rFonts w:hint="eastAsia"/>
                <w:sz w:val="21"/>
                <w:szCs w:val="21"/>
              </w:rPr>
              <w:t>联合体投标</w:t>
            </w:r>
          </w:p>
        </w:tc>
        <w:tc>
          <w:tcPr>
            <w:tcW w:w="7344" w:type="dxa"/>
            <w:vAlign w:val="center"/>
          </w:tcPr>
          <w:p>
            <w:pPr>
              <w:pStyle w:val="63"/>
              <w:spacing w:line="360" w:lineRule="auto"/>
              <w:rPr>
                <w:sz w:val="21"/>
                <w:szCs w:val="21"/>
              </w:rPr>
            </w:pPr>
            <w:r>
              <w:rPr>
                <w:rFonts w:hint="eastAsia"/>
                <w:sz w:val="21"/>
                <w:szCs w:val="21"/>
              </w:rPr>
              <w:t>本次招标不接受联合体投标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4" w:type="dxa"/>
            <w:vAlign w:val="center"/>
          </w:tcPr>
          <w:p>
            <w:pPr>
              <w:pStyle w:val="63"/>
              <w:spacing w:before="1" w:line="360" w:lineRule="auto"/>
              <w:jc w:val="center"/>
              <w:rPr>
                <w:rFonts w:hint="eastAsia" w:eastAsia="宋体"/>
                <w:sz w:val="21"/>
                <w:szCs w:val="21"/>
                <w:lang w:eastAsia="zh-CN"/>
              </w:rPr>
            </w:pPr>
            <w:r>
              <w:rPr>
                <w:rFonts w:hint="eastAsia"/>
                <w:w w:val="99"/>
                <w:sz w:val="21"/>
                <w:szCs w:val="21"/>
                <w:lang w:val="en-US" w:eastAsia="zh-CN"/>
              </w:rPr>
              <w:t>5</w:t>
            </w:r>
          </w:p>
        </w:tc>
        <w:tc>
          <w:tcPr>
            <w:tcW w:w="1978" w:type="dxa"/>
            <w:vAlign w:val="center"/>
          </w:tcPr>
          <w:p>
            <w:pPr>
              <w:pStyle w:val="63"/>
              <w:spacing w:before="1" w:line="360" w:lineRule="auto"/>
              <w:ind w:right="262"/>
              <w:jc w:val="center"/>
              <w:rPr>
                <w:sz w:val="21"/>
                <w:szCs w:val="21"/>
              </w:rPr>
            </w:pPr>
            <w:r>
              <w:rPr>
                <w:rFonts w:hint="eastAsia"/>
                <w:sz w:val="21"/>
                <w:szCs w:val="21"/>
              </w:rPr>
              <w:t>其他强制性</w:t>
            </w:r>
          </w:p>
          <w:p>
            <w:pPr>
              <w:pStyle w:val="63"/>
              <w:spacing w:before="1" w:line="360" w:lineRule="auto"/>
              <w:ind w:right="262"/>
              <w:jc w:val="center"/>
              <w:rPr>
                <w:sz w:val="21"/>
                <w:szCs w:val="21"/>
              </w:rPr>
            </w:pPr>
            <w:r>
              <w:rPr>
                <w:rFonts w:hint="eastAsia"/>
                <w:sz w:val="21"/>
                <w:szCs w:val="21"/>
              </w:rPr>
              <w:t>资格条件</w:t>
            </w:r>
          </w:p>
        </w:tc>
        <w:tc>
          <w:tcPr>
            <w:tcW w:w="7344" w:type="dxa"/>
          </w:tcPr>
          <w:p>
            <w:pPr>
              <w:pStyle w:val="63"/>
              <w:spacing w:line="360" w:lineRule="auto"/>
              <w:rPr>
                <w:sz w:val="21"/>
                <w:szCs w:val="21"/>
              </w:rPr>
            </w:pPr>
            <w:r>
              <w:rPr>
                <w:rFonts w:hint="eastAsia"/>
                <w:sz w:val="21"/>
                <w:szCs w:val="21"/>
              </w:rPr>
              <w:t>1、投标人未被“信用中国”（</w:t>
            </w:r>
            <w:r>
              <w:rPr>
                <w:sz w:val="21"/>
                <w:szCs w:val="21"/>
              </w:rPr>
              <w:fldChar w:fldCharType="begin"/>
            </w:r>
            <w:r>
              <w:rPr>
                <w:sz w:val="21"/>
                <w:szCs w:val="21"/>
              </w:rPr>
              <w:instrText xml:space="preserve"> HYPERLINK "http://www.creditchina.gov.cn/" \h </w:instrText>
            </w:r>
            <w:r>
              <w:rPr>
                <w:sz w:val="21"/>
                <w:szCs w:val="21"/>
              </w:rPr>
              <w:fldChar w:fldCharType="separate"/>
            </w:r>
            <w:r>
              <w:rPr>
                <w:rFonts w:hint="eastAsia"/>
                <w:sz w:val="21"/>
                <w:szCs w:val="21"/>
              </w:rPr>
              <w:t>www.creditchina.gov.cn</w:t>
            </w:r>
            <w:r>
              <w:rPr>
                <w:rFonts w:hint="eastAsia"/>
                <w:sz w:val="21"/>
                <w:szCs w:val="21"/>
              </w:rPr>
              <w:fldChar w:fldCharType="end"/>
            </w:r>
            <w:r>
              <w:rPr>
                <w:rFonts w:hint="eastAsia"/>
                <w:sz w:val="21"/>
                <w:szCs w:val="21"/>
              </w:rPr>
              <w:t>）列入“失信惩戒对象”记录。（提供自招标公告发布之日起至投标截止日内任意时间的“信用中国”网站（</w:t>
            </w:r>
            <w:r>
              <w:rPr>
                <w:sz w:val="21"/>
                <w:szCs w:val="21"/>
              </w:rPr>
              <w:fldChar w:fldCharType="begin"/>
            </w:r>
            <w:r>
              <w:rPr>
                <w:sz w:val="21"/>
                <w:szCs w:val="21"/>
              </w:rPr>
              <w:instrText xml:space="preserve"> HYPERLINK "http://www.creditchina.gov.cn/" \h </w:instrText>
            </w:r>
            <w:r>
              <w:rPr>
                <w:sz w:val="21"/>
                <w:szCs w:val="21"/>
              </w:rPr>
              <w:fldChar w:fldCharType="separate"/>
            </w:r>
            <w:r>
              <w:rPr>
                <w:rFonts w:hint="eastAsia"/>
                <w:sz w:val="21"/>
                <w:szCs w:val="21"/>
              </w:rPr>
              <w:t>www.creditchina.gov.cn</w:t>
            </w:r>
            <w:r>
              <w:rPr>
                <w:rFonts w:hint="eastAsia"/>
                <w:sz w:val="21"/>
                <w:szCs w:val="21"/>
              </w:rPr>
              <w:fldChar w:fldCharType="end"/>
            </w:r>
            <w:r>
              <w:rPr>
                <w:rFonts w:hint="eastAsia"/>
                <w:sz w:val="21"/>
                <w:szCs w:val="21"/>
              </w:rPr>
              <w:t>）投标人信用查询网页截图。（以开标当日评标委员会核实的查询结果为准）；</w:t>
            </w:r>
          </w:p>
          <w:p>
            <w:pPr>
              <w:pStyle w:val="63"/>
              <w:spacing w:line="360" w:lineRule="auto"/>
              <w:rPr>
                <w:sz w:val="21"/>
                <w:szCs w:val="21"/>
              </w:rPr>
            </w:pPr>
            <w:r>
              <w:rPr>
                <w:rFonts w:hint="eastAsia"/>
                <w:sz w:val="21"/>
                <w:szCs w:val="21"/>
              </w:rPr>
              <w:t>2、投标人及其拟派项目负责人自2019年1月1日起至投标截止日止无行贿犯罪记录（投标人按照招标文件格式提供投标人资格声明函）；</w:t>
            </w:r>
          </w:p>
        </w:tc>
      </w:tr>
    </w:tbl>
    <w:p>
      <w:pPr>
        <w:pStyle w:val="63"/>
        <w:spacing w:line="360" w:lineRule="auto"/>
        <w:ind w:left="475" w:leftChars="226" w:firstLine="420" w:firstLineChars="200"/>
        <w:rPr>
          <w:sz w:val="21"/>
          <w:szCs w:val="21"/>
        </w:rPr>
      </w:pPr>
      <w:r>
        <w:rPr>
          <w:rFonts w:hint="eastAsia"/>
          <w:sz w:val="21"/>
          <w:szCs w:val="21"/>
        </w:rPr>
        <w:t>注：1、评标委员会按以上《资格审查强制性资格条件标准》每一项进行核查，如有一项不符合要求，则投标人的资格审查不通过，对不通过的投标人其投标文件不再进行后续评审。</w:t>
      </w:r>
    </w:p>
    <w:p>
      <w:pPr>
        <w:spacing w:line="357" w:lineRule="auto"/>
        <w:sectPr>
          <w:pgSz w:w="11910" w:h="16840"/>
          <w:pgMar w:top="1460" w:right="600" w:bottom="1180" w:left="880" w:header="0" w:footer="913" w:gutter="0"/>
          <w:pgNumType w:fmt="decimal"/>
          <w:cols w:space="720" w:num="1"/>
        </w:sectPr>
      </w:pPr>
    </w:p>
    <w:p>
      <w:pPr>
        <w:pStyle w:val="2"/>
        <w:spacing w:before="0"/>
        <w:ind w:right="64"/>
        <w:rPr>
          <w:b/>
          <w:bCs/>
          <w:spacing w:val="14"/>
          <w:sz w:val="36"/>
          <w:szCs w:val="36"/>
        </w:rPr>
      </w:pPr>
      <w:bookmarkStart w:id="8" w:name="_Toc32608"/>
      <w:bookmarkStart w:id="9" w:name="_Toc9602"/>
      <w:r>
        <w:rPr>
          <w:rFonts w:hint="eastAsia"/>
          <w:b/>
          <w:bCs/>
          <w:spacing w:val="14"/>
          <w:sz w:val="36"/>
          <w:szCs w:val="36"/>
        </w:rPr>
        <w:t>第二章 投标人须知</w:t>
      </w:r>
      <w:bookmarkEnd w:id="8"/>
      <w:bookmarkEnd w:id="9"/>
    </w:p>
    <w:p>
      <w:pPr>
        <w:pStyle w:val="5"/>
        <w:spacing w:before="242"/>
        <w:ind w:left="0" w:right="63"/>
        <w:jc w:val="center"/>
      </w:pPr>
      <w:bookmarkStart w:id="10" w:name="_Toc14674"/>
      <w:r>
        <w:rPr>
          <w:rFonts w:hint="eastAsia"/>
        </w:rPr>
        <w:t>投标人须知前附表</w:t>
      </w:r>
      <w:bookmarkEnd w:id="10"/>
      <w:bookmarkStart w:id="11" w:name="1._总则"/>
      <w:bookmarkEnd w:id="11"/>
    </w:p>
    <w:tbl>
      <w:tblPr>
        <w:tblStyle w:val="61"/>
        <w:tblpPr w:leftFromText="180" w:rightFromText="180" w:vertAnchor="text" w:horzAnchor="page" w:tblpXSpec="center" w:tblpY="4"/>
        <w:tblOverlap w:val="never"/>
        <w:tblW w:w="102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4"/>
        <w:gridCol w:w="1838"/>
        <w:gridCol w:w="7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004" w:type="dxa"/>
          </w:tcPr>
          <w:p>
            <w:pPr>
              <w:pStyle w:val="63"/>
              <w:spacing w:before="151"/>
              <w:ind w:left="98" w:right="91"/>
              <w:jc w:val="center"/>
              <w:rPr>
                <w:spacing w:val="9"/>
                <w:sz w:val="21"/>
                <w:szCs w:val="21"/>
              </w:rPr>
            </w:pPr>
            <w:r>
              <w:rPr>
                <w:rFonts w:hint="eastAsia"/>
                <w:sz w:val="21"/>
                <w:szCs w:val="20"/>
              </w:rPr>
              <w:t>条款号</w:t>
            </w:r>
          </w:p>
        </w:tc>
        <w:tc>
          <w:tcPr>
            <w:tcW w:w="1838" w:type="dxa"/>
          </w:tcPr>
          <w:p>
            <w:pPr>
              <w:pStyle w:val="63"/>
              <w:spacing w:before="151"/>
              <w:ind w:left="99" w:right="94"/>
              <w:jc w:val="center"/>
              <w:rPr>
                <w:sz w:val="21"/>
                <w:szCs w:val="21"/>
              </w:rPr>
            </w:pPr>
            <w:r>
              <w:rPr>
                <w:rFonts w:hint="eastAsia"/>
                <w:spacing w:val="9"/>
                <w:sz w:val="21"/>
                <w:szCs w:val="21"/>
              </w:rPr>
              <w:t>条  款  名  称</w:t>
            </w:r>
          </w:p>
        </w:tc>
        <w:tc>
          <w:tcPr>
            <w:tcW w:w="7426" w:type="dxa"/>
          </w:tcPr>
          <w:p>
            <w:pPr>
              <w:pStyle w:val="63"/>
              <w:spacing w:before="151"/>
              <w:ind w:left="2708" w:right="2698"/>
              <w:jc w:val="center"/>
              <w:rPr>
                <w:sz w:val="21"/>
                <w:szCs w:val="21"/>
              </w:rPr>
            </w:pPr>
            <w:r>
              <w:rPr>
                <w:rFonts w:hint="eastAsia"/>
                <w:spacing w:val="9"/>
                <w:sz w:val="21"/>
                <w:szCs w:val="21"/>
              </w:rPr>
              <w:t>编  列  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4" w:hRule="atLeast"/>
          <w:jc w:val="center"/>
        </w:trPr>
        <w:tc>
          <w:tcPr>
            <w:tcW w:w="1004" w:type="dxa"/>
            <w:vAlign w:val="center"/>
          </w:tcPr>
          <w:p>
            <w:pPr>
              <w:pStyle w:val="63"/>
              <w:spacing w:line="360" w:lineRule="auto"/>
              <w:jc w:val="center"/>
              <w:rPr>
                <w:sz w:val="21"/>
                <w:szCs w:val="21"/>
              </w:rPr>
            </w:pPr>
            <w:r>
              <w:rPr>
                <w:rFonts w:hint="eastAsia"/>
                <w:sz w:val="21"/>
                <w:szCs w:val="21"/>
              </w:rPr>
              <w:t>1.1.2</w:t>
            </w:r>
          </w:p>
        </w:tc>
        <w:tc>
          <w:tcPr>
            <w:tcW w:w="1838" w:type="dxa"/>
            <w:vAlign w:val="center"/>
          </w:tcPr>
          <w:p>
            <w:pPr>
              <w:pStyle w:val="63"/>
              <w:spacing w:line="360" w:lineRule="auto"/>
              <w:jc w:val="center"/>
              <w:rPr>
                <w:sz w:val="21"/>
                <w:szCs w:val="21"/>
              </w:rPr>
            </w:pPr>
            <w:r>
              <w:rPr>
                <w:rFonts w:hint="eastAsia"/>
                <w:sz w:val="21"/>
                <w:szCs w:val="21"/>
              </w:rPr>
              <w:t>招标人</w:t>
            </w:r>
          </w:p>
        </w:tc>
        <w:tc>
          <w:tcPr>
            <w:tcW w:w="7426" w:type="dxa"/>
          </w:tcPr>
          <w:p>
            <w:pPr>
              <w:pStyle w:val="63"/>
              <w:spacing w:line="360" w:lineRule="auto"/>
              <w:rPr>
                <w:sz w:val="21"/>
                <w:szCs w:val="21"/>
              </w:rPr>
            </w:pPr>
            <w:r>
              <w:rPr>
                <w:rFonts w:hint="eastAsia"/>
                <w:sz w:val="21"/>
                <w:szCs w:val="21"/>
              </w:rPr>
              <w:t>名称：海盐县人民医院</w:t>
            </w:r>
          </w:p>
          <w:p>
            <w:pPr>
              <w:pStyle w:val="63"/>
              <w:spacing w:line="360" w:lineRule="auto"/>
              <w:rPr>
                <w:sz w:val="21"/>
                <w:szCs w:val="21"/>
              </w:rPr>
            </w:pPr>
            <w:r>
              <w:rPr>
                <w:rFonts w:hint="eastAsia"/>
                <w:sz w:val="21"/>
                <w:szCs w:val="21"/>
              </w:rPr>
              <w:t>地址：海盐县武原街道中兴路9号</w:t>
            </w:r>
          </w:p>
          <w:p>
            <w:pPr>
              <w:pStyle w:val="63"/>
              <w:spacing w:line="360" w:lineRule="auto"/>
              <w:rPr>
                <w:sz w:val="21"/>
                <w:szCs w:val="21"/>
              </w:rPr>
            </w:pPr>
            <w:r>
              <w:rPr>
                <w:rFonts w:hint="eastAsia"/>
                <w:sz w:val="21"/>
                <w:szCs w:val="21"/>
              </w:rPr>
              <w:t>联系人：顾雪祥</w:t>
            </w:r>
          </w:p>
          <w:p>
            <w:pPr>
              <w:pStyle w:val="63"/>
              <w:spacing w:line="360" w:lineRule="auto"/>
              <w:rPr>
                <w:sz w:val="21"/>
                <w:szCs w:val="21"/>
              </w:rPr>
            </w:pPr>
            <w:r>
              <w:rPr>
                <w:rFonts w:hint="eastAsia"/>
                <w:sz w:val="21"/>
                <w:szCs w:val="21"/>
              </w:rPr>
              <w:t>电话：17772793702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004" w:type="dxa"/>
            <w:vAlign w:val="center"/>
          </w:tcPr>
          <w:p>
            <w:pPr>
              <w:pStyle w:val="63"/>
              <w:spacing w:line="360" w:lineRule="auto"/>
              <w:jc w:val="center"/>
              <w:rPr>
                <w:sz w:val="21"/>
                <w:szCs w:val="21"/>
              </w:rPr>
            </w:pPr>
            <w:r>
              <w:rPr>
                <w:rFonts w:hint="eastAsia"/>
                <w:sz w:val="21"/>
                <w:szCs w:val="21"/>
              </w:rPr>
              <w:t>1.1.3</w:t>
            </w:r>
          </w:p>
        </w:tc>
        <w:tc>
          <w:tcPr>
            <w:tcW w:w="1838" w:type="dxa"/>
            <w:vAlign w:val="center"/>
          </w:tcPr>
          <w:p>
            <w:pPr>
              <w:pStyle w:val="63"/>
              <w:spacing w:line="360" w:lineRule="auto"/>
              <w:jc w:val="center"/>
              <w:rPr>
                <w:sz w:val="21"/>
                <w:szCs w:val="21"/>
              </w:rPr>
            </w:pPr>
            <w:r>
              <w:rPr>
                <w:rFonts w:hint="eastAsia"/>
                <w:sz w:val="21"/>
                <w:szCs w:val="21"/>
              </w:rPr>
              <w:t>招标代理机构</w:t>
            </w:r>
          </w:p>
        </w:tc>
        <w:tc>
          <w:tcPr>
            <w:tcW w:w="7426" w:type="dxa"/>
          </w:tcPr>
          <w:p>
            <w:pPr>
              <w:pStyle w:val="63"/>
              <w:spacing w:line="360" w:lineRule="auto"/>
              <w:rPr>
                <w:sz w:val="21"/>
                <w:szCs w:val="21"/>
              </w:rPr>
            </w:pPr>
            <w:r>
              <w:rPr>
                <w:rFonts w:hint="eastAsia"/>
                <w:sz w:val="21"/>
                <w:szCs w:val="21"/>
              </w:rPr>
              <w:t xml:space="preserve">名 称：五洲工程顾问集团有限公司  </w:t>
            </w:r>
          </w:p>
          <w:p>
            <w:pPr>
              <w:pStyle w:val="63"/>
              <w:spacing w:line="360" w:lineRule="auto"/>
              <w:rPr>
                <w:sz w:val="21"/>
                <w:szCs w:val="21"/>
              </w:rPr>
            </w:pPr>
            <w:r>
              <w:rPr>
                <w:rFonts w:hint="eastAsia"/>
                <w:sz w:val="21"/>
                <w:szCs w:val="21"/>
              </w:rPr>
              <w:t>地 址：杭州市东信大道688号志成大厦13楼</w:t>
            </w:r>
          </w:p>
          <w:p>
            <w:pPr>
              <w:pStyle w:val="63"/>
              <w:spacing w:line="360" w:lineRule="auto"/>
              <w:rPr>
                <w:sz w:val="21"/>
                <w:szCs w:val="21"/>
                <w:highlight w:val="none"/>
              </w:rPr>
            </w:pPr>
            <w:r>
              <w:rPr>
                <w:rFonts w:hint="eastAsia"/>
                <w:sz w:val="21"/>
                <w:szCs w:val="21"/>
              </w:rPr>
              <w:t>联系人：</w:t>
            </w:r>
            <w:r>
              <w:rPr>
                <w:rFonts w:hint="eastAsia"/>
                <w:sz w:val="21"/>
                <w:szCs w:val="21"/>
                <w:lang w:eastAsia="zh-CN"/>
              </w:rPr>
              <w:t>周海飞、</w:t>
            </w:r>
            <w:r>
              <w:rPr>
                <w:rFonts w:hint="eastAsia"/>
                <w:sz w:val="21"/>
                <w:szCs w:val="21"/>
                <w:highlight w:val="none"/>
              </w:rPr>
              <w:t>张少华</w:t>
            </w:r>
          </w:p>
          <w:p>
            <w:pPr>
              <w:pStyle w:val="63"/>
              <w:spacing w:line="360" w:lineRule="auto"/>
              <w:rPr>
                <w:sz w:val="21"/>
                <w:szCs w:val="21"/>
              </w:rPr>
            </w:pPr>
            <w:r>
              <w:rPr>
                <w:rFonts w:hint="eastAsia"/>
                <w:sz w:val="21"/>
                <w:szCs w:val="21"/>
                <w:highlight w:val="none"/>
              </w:rPr>
              <w:t>电 话：</w:t>
            </w:r>
            <w:r>
              <w:rPr>
                <w:rFonts w:hint="eastAsia"/>
                <w:sz w:val="21"/>
                <w:szCs w:val="21"/>
                <w:highlight w:val="none"/>
                <w:lang w:val="en-US" w:eastAsia="zh-CN"/>
              </w:rPr>
              <w:t>13666637236、</w:t>
            </w:r>
            <w:r>
              <w:rPr>
                <w:rFonts w:hint="eastAsia"/>
                <w:sz w:val="21"/>
                <w:szCs w:val="21"/>
                <w:highlight w:val="none"/>
              </w:rPr>
              <w:t>13588475917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04" w:type="dxa"/>
            <w:vAlign w:val="bottom"/>
          </w:tcPr>
          <w:p>
            <w:pPr>
              <w:pStyle w:val="63"/>
              <w:spacing w:line="360" w:lineRule="auto"/>
              <w:jc w:val="center"/>
              <w:rPr>
                <w:sz w:val="21"/>
                <w:szCs w:val="21"/>
              </w:rPr>
            </w:pPr>
            <w:r>
              <w:rPr>
                <w:rFonts w:hint="eastAsia"/>
                <w:sz w:val="21"/>
                <w:szCs w:val="21"/>
              </w:rPr>
              <w:t>1.1.4</w:t>
            </w:r>
          </w:p>
        </w:tc>
        <w:tc>
          <w:tcPr>
            <w:tcW w:w="1838" w:type="dxa"/>
            <w:vAlign w:val="bottom"/>
          </w:tcPr>
          <w:p>
            <w:pPr>
              <w:pStyle w:val="63"/>
              <w:spacing w:line="360" w:lineRule="auto"/>
              <w:jc w:val="center"/>
              <w:rPr>
                <w:sz w:val="21"/>
                <w:szCs w:val="21"/>
              </w:rPr>
            </w:pPr>
            <w:r>
              <w:rPr>
                <w:rFonts w:hint="eastAsia"/>
                <w:sz w:val="21"/>
                <w:szCs w:val="21"/>
              </w:rPr>
              <w:t>项目名称</w:t>
            </w:r>
          </w:p>
        </w:tc>
        <w:tc>
          <w:tcPr>
            <w:tcW w:w="7426" w:type="dxa"/>
            <w:vAlign w:val="bottom"/>
          </w:tcPr>
          <w:p>
            <w:pPr>
              <w:pStyle w:val="63"/>
              <w:spacing w:line="360" w:lineRule="auto"/>
              <w:rPr>
                <w:sz w:val="21"/>
                <w:szCs w:val="21"/>
              </w:rPr>
            </w:pPr>
            <w:r>
              <w:rPr>
                <w:rFonts w:hint="eastAsia"/>
                <w:sz w:val="21"/>
                <w:szCs w:val="21"/>
              </w:rPr>
              <w:t>海盐县人民医院迁建工程（暂名）</w:t>
            </w:r>
            <w:r>
              <w:rPr>
                <w:rFonts w:hint="eastAsia"/>
                <w:sz w:val="21"/>
                <w:szCs w:val="21"/>
                <w:lang w:val="zh-CN" w:eastAsia="zh-CN"/>
              </w:rPr>
              <w:t>食堂厨房</w:t>
            </w:r>
            <w:r>
              <w:rPr>
                <w:rFonts w:hint="eastAsia"/>
                <w:sz w:val="21"/>
                <w:szCs w:val="21"/>
                <w:lang w:val="en-US" w:eastAsia="zh-CN"/>
              </w:rPr>
              <w:t>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004" w:type="dxa"/>
            <w:vAlign w:val="bottom"/>
          </w:tcPr>
          <w:p>
            <w:pPr>
              <w:pStyle w:val="63"/>
              <w:spacing w:line="360" w:lineRule="auto"/>
              <w:jc w:val="center"/>
              <w:rPr>
                <w:sz w:val="21"/>
                <w:szCs w:val="21"/>
              </w:rPr>
            </w:pPr>
            <w:r>
              <w:rPr>
                <w:rFonts w:hint="eastAsia"/>
                <w:sz w:val="21"/>
                <w:szCs w:val="21"/>
              </w:rPr>
              <w:t>1.1.5</w:t>
            </w:r>
          </w:p>
        </w:tc>
        <w:tc>
          <w:tcPr>
            <w:tcW w:w="1838" w:type="dxa"/>
            <w:vAlign w:val="bottom"/>
          </w:tcPr>
          <w:p>
            <w:pPr>
              <w:pStyle w:val="63"/>
              <w:spacing w:line="360" w:lineRule="auto"/>
              <w:jc w:val="center"/>
              <w:rPr>
                <w:sz w:val="21"/>
                <w:szCs w:val="21"/>
              </w:rPr>
            </w:pPr>
            <w:r>
              <w:rPr>
                <w:rFonts w:hint="eastAsia"/>
                <w:sz w:val="21"/>
                <w:szCs w:val="21"/>
              </w:rPr>
              <w:t>建设地点</w:t>
            </w:r>
          </w:p>
        </w:tc>
        <w:tc>
          <w:tcPr>
            <w:tcW w:w="7426" w:type="dxa"/>
            <w:vAlign w:val="bottom"/>
          </w:tcPr>
          <w:p>
            <w:pPr>
              <w:pStyle w:val="63"/>
              <w:spacing w:line="360" w:lineRule="auto"/>
              <w:rPr>
                <w:sz w:val="21"/>
                <w:szCs w:val="21"/>
              </w:rPr>
            </w:pPr>
            <w:r>
              <w:rPr>
                <w:rFonts w:hint="eastAsia"/>
                <w:sz w:val="21"/>
                <w:szCs w:val="21"/>
              </w:rPr>
              <w:t>位于海盐县武原街道，东至滨海大道，南至建丰路，西至空地，北至乐园路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04" w:type="dxa"/>
            <w:vAlign w:val="bottom"/>
          </w:tcPr>
          <w:p>
            <w:pPr>
              <w:pStyle w:val="63"/>
              <w:spacing w:before="120" w:beforeLines="50" w:line="360" w:lineRule="auto"/>
              <w:jc w:val="center"/>
              <w:rPr>
                <w:sz w:val="21"/>
                <w:szCs w:val="21"/>
              </w:rPr>
            </w:pPr>
            <w:r>
              <w:rPr>
                <w:rFonts w:hint="eastAsia"/>
                <w:sz w:val="21"/>
                <w:szCs w:val="21"/>
              </w:rPr>
              <w:t>1.2.1</w:t>
            </w:r>
          </w:p>
        </w:tc>
        <w:tc>
          <w:tcPr>
            <w:tcW w:w="1838" w:type="dxa"/>
            <w:vAlign w:val="bottom"/>
          </w:tcPr>
          <w:p>
            <w:pPr>
              <w:pStyle w:val="63"/>
              <w:spacing w:before="120" w:beforeLines="50" w:line="360" w:lineRule="auto"/>
              <w:jc w:val="center"/>
              <w:rPr>
                <w:sz w:val="21"/>
                <w:szCs w:val="21"/>
              </w:rPr>
            </w:pPr>
            <w:r>
              <w:rPr>
                <w:rFonts w:hint="eastAsia"/>
                <w:sz w:val="21"/>
                <w:szCs w:val="21"/>
              </w:rPr>
              <w:t>资金来源</w:t>
            </w:r>
          </w:p>
        </w:tc>
        <w:tc>
          <w:tcPr>
            <w:tcW w:w="7426" w:type="dxa"/>
            <w:vAlign w:val="bottom"/>
          </w:tcPr>
          <w:p>
            <w:pPr>
              <w:pStyle w:val="63"/>
              <w:spacing w:before="120" w:beforeLines="50" w:line="360" w:lineRule="auto"/>
              <w:rPr>
                <w:sz w:val="21"/>
                <w:szCs w:val="21"/>
              </w:rPr>
            </w:pPr>
            <w:r>
              <w:rPr>
                <w:rFonts w:hint="eastAsia"/>
                <w:sz w:val="21"/>
                <w:szCs w:val="21"/>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004" w:type="dxa"/>
            <w:vAlign w:val="bottom"/>
          </w:tcPr>
          <w:p>
            <w:pPr>
              <w:pStyle w:val="63"/>
              <w:spacing w:line="360" w:lineRule="auto"/>
              <w:jc w:val="center"/>
              <w:rPr>
                <w:sz w:val="21"/>
                <w:szCs w:val="21"/>
              </w:rPr>
            </w:pPr>
            <w:r>
              <w:rPr>
                <w:rFonts w:hint="eastAsia"/>
                <w:sz w:val="21"/>
                <w:szCs w:val="21"/>
              </w:rPr>
              <w:t>1.2.2</w:t>
            </w:r>
          </w:p>
        </w:tc>
        <w:tc>
          <w:tcPr>
            <w:tcW w:w="1838" w:type="dxa"/>
            <w:vAlign w:val="bottom"/>
          </w:tcPr>
          <w:p>
            <w:pPr>
              <w:pStyle w:val="63"/>
              <w:spacing w:before="120" w:beforeLines="50" w:line="360" w:lineRule="auto"/>
              <w:jc w:val="center"/>
              <w:rPr>
                <w:sz w:val="21"/>
                <w:szCs w:val="21"/>
              </w:rPr>
            </w:pPr>
            <w:r>
              <w:rPr>
                <w:rFonts w:hint="eastAsia"/>
                <w:sz w:val="21"/>
                <w:szCs w:val="21"/>
              </w:rPr>
              <w:t>出资比例</w:t>
            </w:r>
          </w:p>
        </w:tc>
        <w:tc>
          <w:tcPr>
            <w:tcW w:w="7426" w:type="dxa"/>
            <w:vAlign w:val="bottom"/>
          </w:tcPr>
          <w:p>
            <w:pPr>
              <w:pStyle w:val="63"/>
              <w:spacing w:before="120" w:beforeLines="50" w:line="360" w:lineRule="auto"/>
              <w:rPr>
                <w:sz w:val="21"/>
                <w:szCs w:val="21"/>
              </w:rPr>
            </w:pPr>
            <w:r>
              <w:rPr>
                <w:rFonts w:hint="eastAsia"/>
                <w:sz w:val="21"/>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004" w:type="dxa"/>
            <w:vAlign w:val="bottom"/>
          </w:tcPr>
          <w:p>
            <w:pPr>
              <w:pStyle w:val="63"/>
              <w:spacing w:before="139" w:line="360" w:lineRule="auto"/>
              <w:ind w:left="98" w:right="87"/>
              <w:jc w:val="center"/>
              <w:rPr>
                <w:sz w:val="21"/>
                <w:szCs w:val="21"/>
              </w:rPr>
            </w:pPr>
            <w:r>
              <w:rPr>
                <w:rFonts w:hint="eastAsia"/>
                <w:sz w:val="21"/>
                <w:szCs w:val="20"/>
              </w:rPr>
              <w:t>1.2.3</w:t>
            </w:r>
          </w:p>
        </w:tc>
        <w:tc>
          <w:tcPr>
            <w:tcW w:w="1838" w:type="dxa"/>
            <w:vAlign w:val="bottom"/>
          </w:tcPr>
          <w:p>
            <w:pPr>
              <w:pStyle w:val="63"/>
              <w:spacing w:line="360" w:lineRule="auto"/>
              <w:jc w:val="center"/>
              <w:rPr>
                <w:sz w:val="21"/>
                <w:szCs w:val="21"/>
              </w:rPr>
            </w:pPr>
            <w:r>
              <w:rPr>
                <w:rFonts w:hint="eastAsia"/>
                <w:sz w:val="21"/>
                <w:szCs w:val="21"/>
              </w:rPr>
              <w:t>资金落实情况</w:t>
            </w:r>
          </w:p>
        </w:tc>
        <w:tc>
          <w:tcPr>
            <w:tcW w:w="7426" w:type="dxa"/>
            <w:vAlign w:val="bottom"/>
          </w:tcPr>
          <w:p>
            <w:pPr>
              <w:pStyle w:val="63"/>
              <w:spacing w:line="360" w:lineRule="auto"/>
              <w:rPr>
                <w:sz w:val="21"/>
                <w:szCs w:val="21"/>
              </w:rPr>
            </w:pPr>
            <w:r>
              <w:rPr>
                <w:rFonts w:hint="eastAsia"/>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004" w:type="dxa"/>
            <w:vAlign w:val="center"/>
          </w:tcPr>
          <w:p>
            <w:pPr>
              <w:pStyle w:val="63"/>
              <w:spacing w:line="360" w:lineRule="auto"/>
              <w:ind w:right="87"/>
              <w:jc w:val="center"/>
              <w:rPr>
                <w:sz w:val="21"/>
                <w:szCs w:val="21"/>
              </w:rPr>
            </w:pPr>
            <w:r>
              <w:rPr>
                <w:rFonts w:hint="eastAsia"/>
                <w:sz w:val="21"/>
                <w:szCs w:val="20"/>
              </w:rPr>
              <w:t>1.3.1</w:t>
            </w:r>
          </w:p>
        </w:tc>
        <w:tc>
          <w:tcPr>
            <w:tcW w:w="1838" w:type="dxa"/>
            <w:vAlign w:val="center"/>
          </w:tcPr>
          <w:p>
            <w:pPr>
              <w:pStyle w:val="63"/>
              <w:spacing w:line="360" w:lineRule="auto"/>
              <w:ind w:right="94"/>
              <w:jc w:val="center"/>
              <w:rPr>
                <w:sz w:val="21"/>
                <w:szCs w:val="21"/>
              </w:rPr>
            </w:pPr>
            <w:r>
              <w:rPr>
                <w:rFonts w:hint="eastAsia"/>
                <w:sz w:val="21"/>
                <w:szCs w:val="21"/>
              </w:rPr>
              <w:t>招标范围</w:t>
            </w:r>
          </w:p>
        </w:tc>
        <w:tc>
          <w:tcPr>
            <w:tcW w:w="7426" w:type="dxa"/>
          </w:tcPr>
          <w:p>
            <w:pPr>
              <w:pStyle w:val="62"/>
              <w:numPr>
                <w:ilvl w:val="0"/>
                <w:numId w:val="0"/>
              </w:numPr>
              <w:tabs>
                <w:tab w:val="left" w:pos="1348"/>
              </w:tabs>
              <w:spacing w:line="360" w:lineRule="auto"/>
              <w:rPr>
                <w:sz w:val="21"/>
                <w:szCs w:val="21"/>
              </w:rPr>
            </w:pPr>
            <w:r>
              <w:rPr>
                <w:rFonts w:hint="eastAsia" w:ascii="宋体" w:hAnsi="宋体" w:eastAsia="宋体" w:cs="宋体"/>
                <w:kern w:val="0"/>
                <w:sz w:val="21"/>
                <w:szCs w:val="21"/>
                <w:lang w:val="en-US" w:eastAsia="zh-CN" w:bidi="ar-SA"/>
              </w:rPr>
              <w:t>包含本项目食堂厨房设备的供货、安装、调试和试运行、验收开通、技术服务及培训、售后维修服务以及与工程总承包的协调、配合工作等。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004" w:type="dxa"/>
            <w:vAlign w:val="center"/>
          </w:tcPr>
          <w:p>
            <w:pPr>
              <w:pStyle w:val="63"/>
              <w:spacing w:line="360" w:lineRule="auto"/>
              <w:jc w:val="center"/>
              <w:rPr>
                <w:sz w:val="21"/>
                <w:szCs w:val="21"/>
              </w:rPr>
            </w:pPr>
            <w:r>
              <w:rPr>
                <w:rFonts w:hint="eastAsia"/>
                <w:sz w:val="21"/>
                <w:szCs w:val="21"/>
              </w:rPr>
              <w:t>1.3.2</w:t>
            </w:r>
          </w:p>
        </w:tc>
        <w:tc>
          <w:tcPr>
            <w:tcW w:w="1838" w:type="dxa"/>
            <w:vAlign w:val="center"/>
          </w:tcPr>
          <w:p>
            <w:pPr>
              <w:pStyle w:val="63"/>
              <w:spacing w:line="360" w:lineRule="auto"/>
              <w:jc w:val="center"/>
              <w:rPr>
                <w:sz w:val="21"/>
                <w:szCs w:val="21"/>
              </w:rPr>
            </w:pPr>
            <w:r>
              <w:rPr>
                <w:rFonts w:hint="eastAsia"/>
                <w:sz w:val="21"/>
                <w:szCs w:val="21"/>
              </w:rPr>
              <w:t>工期要求</w:t>
            </w:r>
          </w:p>
        </w:tc>
        <w:tc>
          <w:tcPr>
            <w:tcW w:w="7426" w:type="dxa"/>
            <w:vAlign w:val="center"/>
          </w:tcPr>
          <w:p>
            <w:pPr>
              <w:pStyle w:val="62"/>
              <w:numPr>
                <w:ilvl w:val="0"/>
                <w:numId w:val="0"/>
              </w:numPr>
              <w:tabs>
                <w:tab w:val="left" w:pos="1348"/>
              </w:tabs>
              <w:spacing w:line="360" w:lineRule="auto"/>
              <w:jc w:val="both"/>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合同签订生效且具备进场条件</w:t>
            </w:r>
            <w:r>
              <w:rPr>
                <w:rFonts w:hint="eastAsia" w:ascii="宋体" w:hAnsi="宋体" w:eastAsia="宋体" w:cs="宋体"/>
                <w:kern w:val="0"/>
                <w:sz w:val="21"/>
                <w:szCs w:val="21"/>
                <w:highlight w:val="none"/>
                <w:lang w:val="en-US" w:eastAsia="zh-CN" w:bidi="ar-SA"/>
              </w:rPr>
              <w:t>后，</w:t>
            </w:r>
            <w:r>
              <w:rPr>
                <w:rFonts w:hint="eastAsia" w:cs="宋体"/>
                <w:kern w:val="0"/>
                <w:sz w:val="21"/>
                <w:szCs w:val="21"/>
                <w:highlight w:val="none"/>
                <w:lang w:val="en-US" w:eastAsia="zh-CN" w:bidi="ar-SA"/>
              </w:rPr>
              <w:t xml:space="preserve">   </w:t>
            </w:r>
            <w:r>
              <w:rPr>
                <w:rFonts w:hint="eastAsia" w:ascii="宋体" w:hAnsi="宋体" w:eastAsia="宋体" w:cs="宋体"/>
                <w:kern w:val="0"/>
                <w:sz w:val="21"/>
                <w:szCs w:val="21"/>
                <w:highlight w:val="none"/>
                <w:lang w:val="en-US" w:eastAsia="zh-CN" w:bidi="ar-SA"/>
              </w:rPr>
              <w:t>个月</w:t>
            </w:r>
            <w:r>
              <w:rPr>
                <w:rFonts w:hint="eastAsia" w:ascii="宋体" w:hAnsi="宋体" w:eastAsia="宋体" w:cs="宋体"/>
                <w:kern w:val="0"/>
                <w:sz w:val="21"/>
                <w:szCs w:val="21"/>
                <w:lang w:val="en-US" w:eastAsia="zh-CN" w:bidi="ar-SA"/>
              </w:rPr>
              <w:t>内完成设备的供货、安装、调试及试运</w:t>
            </w:r>
          </w:p>
          <w:p>
            <w:pPr>
              <w:pStyle w:val="62"/>
              <w:numPr>
                <w:ilvl w:val="0"/>
                <w:numId w:val="0"/>
              </w:numPr>
              <w:tabs>
                <w:tab w:val="left" w:pos="1348"/>
              </w:tabs>
              <w:spacing w:line="360" w:lineRule="auto"/>
              <w:rPr>
                <w:sz w:val="21"/>
                <w:szCs w:val="21"/>
              </w:rPr>
            </w:pPr>
            <w:r>
              <w:rPr>
                <w:rFonts w:hint="eastAsia" w:ascii="宋体" w:hAnsi="宋体" w:eastAsia="宋体" w:cs="宋体"/>
                <w:kern w:val="0"/>
                <w:sz w:val="21"/>
                <w:szCs w:val="21"/>
                <w:lang w:val="en-US" w:eastAsia="zh-CN" w:bidi="ar-SA"/>
              </w:rPr>
              <w:t>行，具体以配合施工现场进度为准。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004" w:type="dxa"/>
            <w:vAlign w:val="center"/>
          </w:tcPr>
          <w:p>
            <w:pPr>
              <w:pStyle w:val="63"/>
              <w:spacing w:line="360" w:lineRule="auto"/>
              <w:jc w:val="center"/>
              <w:rPr>
                <w:sz w:val="21"/>
                <w:szCs w:val="21"/>
              </w:rPr>
            </w:pPr>
            <w:r>
              <w:rPr>
                <w:rFonts w:hint="eastAsia"/>
                <w:sz w:val="21"/>
                <w:szCs w:val="21"/>
              </w:rPr>
              <w:t>1.3.3</w:t>
            </w:r>
          </w:p>
        </w:tc>
        <w:tc>
          <w:tcPr>
            <w:tcW w:w="1838" w:type="dxa"/>
            <w:vAlign w:val="center"/>
          </w:tcPr>
          <w:p>
            <w:pPr>
              <w:pStyle w:val="63"/>
              <w:spacing w:line="360" w:lineRule="auto"/>
              <w:jc w:val="center"/>
              <w:rPr>
                <w:sz w:val="21"/>
                <w:szCs w:val="21"/>
              </w:rPr>
            </w:pPr>
            <w:r>
              <w:rPr>
                <w:rFonts w:hint="eastAsia"/>
                <w:sz w:val="21"/>
                <w:szCs w:val="21"/>
              </w:rPr>
              <w:t>质量要求</w:t>
            </w:r>
          </w:p>
        </w:tc>
        <w:tc>
          <w:tcPr>
            <w:tcW w:w="7426" w:type="dxa"/>
            <w:vAlign w:val="center"/>
          </w:tcPr>
          <w:p>
            <w:pPr>
              <w:widowControl/>
              <w:spacing w:line="360" w:lineRule="auto"/>
              <w:rPr>
                <w:rFonts w:ascii="Times New Roman" w:hAnsi="Times New Roman" w:eastAsia="宋体" w:cs="Times New Roman"/>
                <w:kern w:val="0"/>
                <w:sz w:val="21"/>
                <w:szCs w:val="21"/>
              </w:rPr>
            </w:pPr>
            <w:r>
              <w:rPr>
                <w:rFonts w:hint="eastAsia"/>
                <w:color w:val="000000" w:themeColor="text1"/>
                <w:sz w:val="21"/>
                <w:szCs w:val="21"/>
                <w:highlight w:val="none"/>
                <w14:textFill>
                  <w14:solidFill>
                    <w14:schemeClr w14:val="tx1"/>
                  </w14:solidFill>
                </w14:textFill>
              </w:rPr>
              <w:t>符合图纸设计要求，并经招标人验收通过、配合总承包单位争创钱江杯、鲁班奖；配合总承包单位做好本项目绿色建筑2星、BIM技术服务。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 w:hRule="atLeast"/>
          <w:jc w:val="center"/>
        </w:trPr>
        <w:tc>
          <w:tcPr>
            <w:tcW w:w="1004" w:type="dxa"/>
            <w:vAlign w:val="center"/>
          </w:tcPr>
          <w:p>
            <w:pPr>
              <w:pStyle w:val="63"/>
              <w:spacing w:line="360" w:lineRule="auto"/>
              <w:jc w:val="center"/>
              <w:rPr>
                <w:sz w:val="21"/>
                <w:szCs w:val="21"/>
              </w:rPr>
            </w:pPr>
            <w:r>
              <w:rPr>
                <w:rFonts w:hint="eastAsia"/>
                <w:sz w:val="21"/>
                <w:szCs w:val="21"/>
              </w:rPr>
              <w:t>1.4.1</w:t>
            </w:r>
          </w:p>
        </w:tc>
        <w:tc>
          <w:tcPr>
            <w:tcW w:w="1838" w:type="dxa"/>
            <w:vAlign w:val="center"/>
          </w:tcPr>
          <w:p>
            <w:pPr>
              <w:pStyle w:val="63"/>
              <w:spacing w:line="360" w:lineRule="auto"/>
              <w:jc w:val="center"/>
              <w:rPr>
                <w:sz w:val="21"/>
                <w:szCs w:val="21"/>
              </w:rPr>
            </w:pPr>
            <w:r>
              <w:rPr>
                <w:rFonts w:hint="eastAsia"/>
                <w:sz w:val="21"/>
                <w:szCs w:val="21"/>
              </w:rPr>
              <w:t>投标人资质条件、能力和信誉</w:t>
            </w:r>
          </w:p>
        </w:tc>
        <w:tc>
          <w:tcPr>
            <w:tcW w:w="7426" w:type="dxa"/>
          </w:tcPr>
          <w:p>
            <w:pPr>
              <w:pStyle w:val="63"/>
              <w:spacing w:before="70" w:line="360" w:lineRule="auto"/>
              <w:ind w:right="46" w:rightChars="22"/>
              <w:rPr>
                <w:sz w:val="21"/>
                <w:szCs w:val="21"/>
              </w:rPr>
            </w:pPr>
            <w:r>
              <w:rPr>
                <w:rFonts w:hint="eastAsia"/>
                <w:sz w:val="21"/>
                <w:szCs w:val="21"/>
              </w:rPr>
              <w:t>资格条件：</w:t>
            </w:r>
          </w:p>
          <w:p>
            <w:pPr>
              <w:pStyle w:val="62"/>
              <w:tabs>
                <w:tab w:val="left" w:pos="1364"/>
              </w:tabs>
              <w:spacing w:line="360" w:lineRule="auto"/>
              <w:ind w:left="0" w:firstLine="0"/>
              <w:rPr>
                <w:sz w:val="21"/>
                <w:szCs w:val="21"/>
              </w:rPr>
            </w:pPr>
            <w:r>
              <w:rPr>
                <w:rFonts w:hint="eastAsia"/>
                <w:sz w:val="21"/>
                <w:szCs w:val="21"/>
              </w:rPr>
              <w:t>1.1资格条件：</w:t>
            </w:r>
          </w:p>
          <w:p>
            <w:pPr>
              <w:pStyle w:val="62"/>
              <w:numPr>
                <w:ilvl w:val="0"/>
                <w:numId w:val="0"/>
              </w:numPr>
              <w:tabs>
                <w:tab w:val="left" w:pos="1364"/>
              </w:tabs>
              <w:spacing w:line="336" w:lineRule="auto"/>
              <w:rPr>
                <w:highlight w:val="none"/>
              </w:rPr>
            </w:pPr>
            <w:r>
              <w:rPr>
                <w:rFonts w:hint="eastAsia"/>
                <w:sz w:val="21"/>
                <w:szCs w:val="21"/>
                <w:highlight w:val="none"/>
                <w:lang w:eastAsia="zh-CN"/>
              </w:rPr>
              <w:t>（</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投标人具有独立法人资格的厨房设备制造商或供货商。</w:t>
            </w:r>
          </w:p>
          <w:p>
            <w:pPr>
              <w:pStyle w:val="62"/>
              <w:numPr>
                <w:ilvl w:val="0"/>
                <w:numId w:val="0"/>
              </w:numPr>
              <w:tabs>
                <w:tab w:val="left" w:pos="1364"/>
              </w:tabs>
              <w:spacing w:line="336" w:lineRule="auto"/>
              <w:rPr>
                <w:highlight w:val="none"/>
                <w:u w:val="none"/>
              </w:rPr>
            </w:pPr>
            <w:r>
              <w:rPr>
                <w:rFonts w:hint="eastAsia" w:cs="宋体"/>
                <w:color w:val="000000" w:themeColor="text1"/>
                <w:sz w:val="21"/>
                <w:szCs w:val="21"/>
                <w:highlight w:val="none"/>
                <w:u w:val="none"/>
                <w:lang w:val="en-US" w:eastAsia="zh-CN" w:bidi="ar-SA"/>
                <w14:textFill>
                  <w14:solidFill>
                    <w14:schemeClr w14:val="tx1"/>
                  </w14:solidFill>
                </w14:textFill>
              </w:rPr>
              <w:t>（2）</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投</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标人</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自2018年1月1日至投标截止日（以完工验收证明材料上的时间为准）完成过单项合同金额</w:t>
            </w:r>
            <w:r>
              <w:rPr>
                <w:rFonts w:hint="eastAsia" w:cs="宋体"/>
                <w:color w:val="000000" w:themeColor="text1"/>
                <w:sz w:val="21"/>
                <w:szCs w:val="21"/>
                <w:highlight w:val="none"/>
                <w:u w:val="none"/>
                <w:lang w:val="en-US" w:eastAsia="zh-CN" w:bidi="ar-SA"/>
                <w14:textFill>
                  <w14:solidFill>
                    <w14:schemeClr w14:val="tx1"/>
                  </w14:solidFill>
                </w14:textFill>
              </w:rPr>
              <w:t>150</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万元及以上</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cyan"/>
                <w:u w:val="none"/>
                <w:lang w:val="en-US" w:eastAsia="zh-CN"/>
                <w14:textFill>
                  <w14:solidFill>
                    <w14:schemeClr w14:val="tx1"/>
                  </w14:solidFill>
                </w14:textFill>
              </w:rPr>
              <w:t>厨房设施设备项目</w:t>
            </w:r>
            <w:r>
              <w:rPr>
                <w:rFonts w:hint="eastAsia" w:ascii="宋体" w:hAnsi="宋体" w:eastAsia="宋体" w:cs="宋体"/>
                <w:color w:val="000000" w:themeColor="text1"/>
                <w:sz w:val="21"/>
                <w:szCs w:val="21"/>
                <w:highlight w:val="cyan"/>
                <w:u w:val="none"/>
                <w:lang w:val="en-US" w:eastAsia="zh-CN" w:bidi="ar-SA"/>
                <w14:textFill>
                  <w14:solidFill>
                    <w14:schemeClr w14:val="tx1"/>
                  </w14:solidFill>
                </w14:textFill>
              </w:rPr>
              <w:t>业绩的</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。（提供中标通知书</w:t>
            </w:r>
            <w:r>
              <w:rPr>
                <w:rFonts w:hint="eastAsia" w:cs="宋体"/>
                <w:color w:val="000000" w:themeColor="text1"/>
                <w:sz w:val="21"/>
                <w:szCs w:val="21"/>
                <w:highlight w:val="none"/>
                <w:u w:val="non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合同和完工验收证明材料复印件）</w:t>
            </w:r>
          </w:p>
          <w:p>
            <w:pPr>
              <w:pStyle w:val="62"/>
              <w:tabs>
                <w:tab w:val="left" w:pos="1364"/>
              </w:tabs>
              <w:spacing w:line="360" w:lineRule="auto"/>
              <w:ind w:left="0" w:firstLine="0"/>
              <w:rPr>
                <w:rFonts w:hint="eastAsia"/>
                <w:sz w:val="21"/>
              </w:rPr>
            </w:pPr>
            <w:r>
              <w:rPr>
                <w:rFonts w:hint="eastAsia"/>
                <w:sz w:val="21"/>
                <w:szCs w:val="21"/>
                <w:highlight w:val="none"/>
                <w:lang w:eastAsia="zh-CN"/>
              </w:rPr>
              <w:t>（</w:t>
            </w:r>
            <w:r>
              <w:rPr>
                <w:rFonts w:hint="eastAsia"/>
                <w:sz w:val="21"/>
                <w:szCs w:val="21"/>
                <w:highlight w:val="none"/>
                <w:lang w:val="en-US" w:eastAsia="zh-CN"/>
              </w:rPr>
              <w:t>3</w:t>
            </w:r>
            <w:r>
              <w:rPr>
                <w:rFonts w:hint="eastAsia"/>
                <w:sz w:val="21"/>
                <w:szCs w:val="21"/>
                <w:highlight w:val="none"/>
                <w:lang w:eastAsia="zh-CN"/>
              </w:rPr>
              <w:t>）</w:t>
            </w:r>
            <w:r>
              <w:rPr>
                <w:rFonts w:hint="eastAsia"/>
                <w:sz w:val="21"/>
                <w:szCs w:val="21"/>
                <w:highlight w:val="none"/>
              </w:rPr>
              <w:t>投标</w:t>
            </w:r>
            <w:r>
              <w:rPr>
                <w:rFonts w:hint="eastAsia"/>
                <w:sz w:val="21"/>
                <w:szCs w:val="21"/>
                <w:highlight w:val="none"/>
                <w:lang w:eastAsia="zh-CN"/>
              </w:rPr>
              <w:t>单位</w:t>
            </w:r>
            <w:r>
              <w:rPr>
                <w:rFonts w:hint="eastAsia"/>
                <w:sz w:val="21"/>
                <w:szCs w:val="21"/>
                <w:highlight w:val="none"/>
              </w:rPr>
              <w:t>负责人为同一人或者存在控股、管理关系的不同单</w:t>
            </w:r>
            <w:r>
              <w:rPr>
                <w:rFonts w:hint="eastAsia"/>
                <w:sz w:val="21"/>
                <w:szCs w:val="21"/>
              </w:rPr>
              <w:t>位，不得同时参加本项目投标</w:t>
            </w:r>
            <w:r>
              <w:rPr>
                <w:rFonts w:hint="eastAsia"/>
                <w:sz w:val="21"/>
              </w:rPr>
              <w:t>。</w:t>
            </w:r>
          </w:p>
          <w:p>
            <w:pPr>
              <w:pStyle w:val="62"/>
              <w:tabs>
                <w:tab w:val="left" w:pos="1364"/>
              </w:tabs>
              <w:spacing w:line="360" w:lineRule="auto"/>
              <w:ind w:left="0" w:firstLine="0"/>
              <w:rPr>
                <w:sz w:val="21"/>
                <w:szCs w:val="21"/>
                <w:highlight w:val="none"/>
                <w:u w:val="none"/>
              </w:rPr>
            </w:pPr>
            <w:r>
              <w:rPr>
                <w:rFonts w:hint="eastAsia"/>
                <w:sz w:val="21"/>
                <w:szCs w:val="21"/>
                <w:highlight w:val="none"/>
                <w:u w:val="none"/>
              </w:rPr>
              <w:t>1.</w:t>
            </w:r>
            <w:r>
              <w:rPr>
                <w:rFonts w:hint="eastAsia"/>
                <w:sz w:val="21"/>
                <w:szCs w:val="21"/>
                <w:highlight w:val="none"/>
                <w:u w:val="none"/>
                <w:lang w:val="en-US" w:eastAsia="zh-CN"/>
              </w:rPr>
              <w:t>2</w:t>
            </w:r>
            <w:r>
              <w:rPr>
                <w:rFonts w:hint="eastAsia"/>
                <w:sz w:val="21"/>
                <w:szCs w:val="21"/>
                <w:highlight w:val="none"/>
                <w:u w:val="none"/>
              </w:rPr>
              <w:t>本次招标不接受联合体投标。</w:t>
            </w:r>
          </w:p>
          <w:p>
            <w:pPr>
              <w:pStyle w:val="63"/>
              <w:spacing w:before="15" w:line="360" w:lineRule="auto"/>
              <w:rPr>
                <w:rFonts w:hint="eastAsia"/>
                <w:sz w:val="21"/>
                <w:szCs w:val="21"/>
              </w:rPr>
            </w:pPr>
            <w:r>
              <w:rPr>
                <w:rFonts w:hint="eastAsia"/>
                <w:sz w:val="21"/>
                <w:szCs w:val="21"/>
                <w:u w:val="none"/>
              </w:rPr>
              <w:t>其他要求：详见资格审查强制性资格条件标准。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jc w:val="center"/>
        </w:trPr>
        <w:tc>
          <w:tcPr>
            <w:tcW w:w="1004" w:type="dxa"/>
            <w:vAlign w:val="bottom"/>
          </w:tcPr>
          <w:p>
            <w:pPr>
              <w:pStyle w:val="63"/>
              <w:spacing w:line="360" w:lineRule="auto"/>
              <w:jc w:val="center"/>
              <w:rPr>
                <w:sz w:val="21"/>
                <w:szCs w:val="21"/>
              </w:rPr>
            </w:pPr>
            <w:r>
              <w:rPr>
                <w:rFonts w:hint="eastAsia"/>
                <w:sz w:val="21"/>
                <w:szCs w:val="21"/>
              </w:rPr>
              <w:t>1.4.2</w:t>
            </w:r>
          </w:p>
        </w:tc>
        <w:tc>
          <w:tcPr>
            <w:tcW w:w="1838" w:type="dxa"/>
            <w:vAlign w:val="bottom"/>
          </w:tcPr>
          <w:p>
            <w:pPr>
              <w:pStyle w:val="63"/>
              <w:spacing w:line="360" w:lineRule="auto"/>
              <w:jc w:val="center"/>
              <w:rPr>
                <w:sz w:val="21"/>
                <w:szCs w:val="21"/>
              </w:rPr>
            </w:pPr>
            <w:r>
              <w:rPr>
                <w:rFonts w:hint="eastAsia"/>
                <w:sz w:val="21"/>
                <w:szCs w:val="21"/>
              </w:rPr>
              <w:t>是否接受联合体投标</w:t>
            </w:r>
          </w:p>
        </w:tc>
        <w:tc>
          <w:tcPr>
            <w:tcW w:w="7426" w:type="dxa"/>
            <w:vAlign w:val="center"/>
          </w:tcPr>
          <w:p>
            <w:pPr>
              <w:pStyle w:val="63"/>
              <w:spacing w:before="125" w:line="360" w:lineRule="auto"/>
              <w:ind w:left="107"/>
              <w:rPr>
                <w:sz w:val="21"/>
                <w:szCs w:val="21"/>
              </w:rPr>
            </w:pPr>
            <w:r>
              <w:rPr>
                <w:rFonts w:hint="eastAsia" w:ascii="MS Gothic" w:hAnsi="MS Gothic" w:eastAsia="MS Gothic" w:cs="MS Gothic"/>
                <w:sz w:val="21"/>
                <w:szCs w:val="21"/>
              </w:rPr>
              <w:t>☑</w:t>
            </w:r>
            <w:r>
              <w:rPr>
                <w:rFonts w:hint="eastAsia"/>
                <w:sz w:val="21"/>
                <w:szCs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1004" w:type="dxa"/>
            <w:vAlign w:val="bottom"/>
          </w:tcPr>
          <w:p>
            <w:pPr>
              <w:pStyle w:val="63"/>
              <w:spacing w:line="360" w:lineRule="auto"/>
              <w:jc w:val="center"/>
              <w:rPr>
                <w:sz w:val="21"/>
                <w:szCs w:val="21"/>
              </w:rPr>
            </w:pPr>
            <w:r>
              <w:rPr>
                <w:rFonts w:hint="eastAsia"/>
                <w:sz w:val="21"/>
                <w:szCs w:val="21"/>
              </w:rPr>
              <w:t>1.9.1</w:t>
            </w:r>
          </w:p>
        </w:tc>
        <w:tc>
          <w:tcPr>
            <w:tcW w:w="1838" w:type="dxa"/>
            <w:vAlign w:val="bottom"/>
          </w:tcPr>
          <w:p>
            <w:pPr>
              <w:pStyle w:val="63"/>
              <w:spacing w:line="360" w:lineRule="auto"/>
              <w:jc w:val="center"/>
              <w:rPr>
                <w:sz w:val="21"/>
                <w:szCs w:val="21"/>
              </w:rPr>
            </w:pPr>
            <w:r>
              <w:rPr>
                <w:rFonts w:hint="eastAsia"/>
                <w:sz w:val="21"/>
                <w:szCs w:val="21"/>
              </w:rPr>
              <w:t>踏勘现场</w:t>
            </w:r>
          </w:p>
        </w:tc>
        <w:tc>
          <w:tcPr>
            <w:tcW w:w="7426" w:type="dxa"/>
          </w:tcPr>
          <w:p>
            <w:pPr>
              <w:pStyle w:val="63"/>
              <w:spacing w:before="158" w:line="360" w:lineRule="auto"/>
              <w:ind w:left="107"/>
              <w:rPr>
                <w:sz w:val="21"/>
                <w:szCs w:val="21"/>
              </w:rPr>
            </w:pPr>
            <w:r>
              <w:rPr>
                <w:rFonts w:hint="eastAsia" w:ascii="MS Gothic" w:hAnsi="MS Gothic" w:eastAsia="MS Gothic" w:cs="MS Gothic"/>
                <w:sz w:val="21"/>
                <w:szCs w:val="21"/>
              </w:rPr>
              <w:t>☑</w:t>
            </w:r>
            <w:r>
              <w:rPr>
                <w:rFonts w:hint="eastAsia"/>
                <w:sz w:val="21"/>
                <w:szCs w:val="21"/>
              </w:rPr>
              <w:t>不组织，由投标人自行踏勘。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1004" w:type="dxa"/>
            <w:vAlign w:val="bottom"/>
          </w:tcPr>
          <w:p>
            <w:pPr>
              <w:pStyle w:val="63"/>
              <w:spacing w:line="360" w:lineRule="auto"/>
              <w:jc w:val="center"/>
              <w:rPr>
                <w:sz w:val="21"/>
                <w:szCs w:val="21"/>
              </w:rPr>
            </w:pPr>
            <w:r>
              <w:rPr>
                <w:rFonts w:hint="eastAsia"/>
                <w:sz w:val="21"/>
                <w:szCs w:val="21"/>
              </w:rPr>
              <w:t>1.10.1</w:t>
            </w:r>
          </w:p>
        </w:tc>
        <w:tc>
          <w:tcPr>
            <w:tcW w:w="1838" w:type="dxa"/>
            <w:vAlign w:val="bottom"/>
          </w:tcPr>
          <w:p>
            <w:pPr>
              <w:pStyle w:val="63"/>
              <w:spacing w:line="360" w:lineRule="auto"/>
              <w:jc w:val="center"/>
              <w:rPr>
                <w:sz w:val="21"/>
                <w:szCs w:val="21"/>
              </w:rPr>
            </w:pPr>
            <w:r>
              <w:rPr>
                <w:rFonts w:hint="eastAsia"/>
                <w:sz w:val="21"/>
                <w:szCs w:val="21"/>
              </w:rPr>
              <w:t>投标预备会</w:t>
            </w:r>
          </w:p>
        </w:tc>
        <w:tc>
          <w:tcPr>
            <w:tcW w:w="7426" w:type="dxa"/>
          </w:tcPr>
          <w:p>
            <w:pPr>
              <w:pStyle w:val="63"/>
              <w:spacing w:before="176" w:line="360" w:lineRule="auto"/>
              <w:ind w:left="107"/>
              <w:rPr>
                <w:sz w:val="21"/>
                <w:szCs w:val="21"/>
              </w:rPr>
            </w:pPr>
            <w:r>
              <w:rPr>
                <w:rFonts w:hint="eastAsia" w:ascii="MS Gothic" w:hAnsi="MS Gothic" w:eastAsia="MS Gothic" w:cs="MS Gothic"/>
                <w:sz w:val="21"/>
                <w:szCs w:val="21"/>
              </w:rPr>
              <w:t>☑</w:t>
            </w:r>
            <w:r>
              <w:rPr>
                <w:rFonts w:hint="eastAsia"/>
                <w:sz w:val="21"/>
                <w:szCs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004" w:type="dxa"/>
            <w:vMerge w:val="restart"/>
            <w:vAlign w:val="center"/>
          </w:tcPr>
          <w:p>
            <w:pPr>
              <w:pStyle w:val="63"/>
              <w:spacing w:line="360" w:lineRule="auto"/>
              <w:jc w:val="center"/>
              <w:rPr>
                <w:sz w:val="21"/>
                <w:szCs w:val="21"/>
              </w:rPr>
            </w:pPr>
            <w:r>
              <w:rPr>
                <w:rFonts w:hint="eastAsia"/>
                <w:sz w:val="21"/>
                <w:szCs w:val="21"/>
              </w:rPr>
              <w:t>1.10.2</w:t>
            </w:r>
          </w:p>
          <w:p>
            <w:pPr>
              <w:pStyle w:val="63"/>
              <w:spacing w:line="360" w:lineRule="auto"/>
              <w:jc w:val="center"/>
              <w:rPr>
                <w:sz w:val="21"/>
                <w:szCs w:val="21"/>
              </w:rPr>
            </w:pPr>
            <w:r>
              <w:rPr>
                <w:rFonts w:hint="eastAsia"/>
                <w:sz w:val="21"/>
                <w:szCs w:val="21"/>
              </w:rPr>
              <w:t>2.2.1</w:t>
            </w:r>
          </w:p>
          <w:p>
            <w:pPr>
              <w:pStyle w:val="63"/>
              <w:spacing w:line="360" w:lineRule="auto"/>
              <w:jc w:val="center"/>
              <w:rPr>
                <w:sz w:val="21"/>
                <w:szCs w:val="21"/>
              </w:rPr>
            </w:pPr>
            <w:r>
              <w:rPr>
                <w:rFonts w:hint="eastAsia"/>
                <w:sz w:val="21"/>
                <w:szCs w:val="21"/>
              </w:rPr>
              <w:t>9.5.1</w:t>
            </w:r>
          </w:p>
        </w:tc>
        <w:tc>
          <w:tcPr>
            <w:tcW w:w="1838" w:type="dxa"/>
            <w:vAlign w:val="center"/>
          </w:tcPr>
          <w:p>
            <w:pPr>
              <w:pStyle w:val="63"/>
              <w:spacing w:line="360" w:lineRule="auto"/>
              <w:jc w:val="center"/>
              <w:rPr>
                <w:sz w:val="21"/>
                <w:szCs w:val="21"/>
              </w:rPr>
            </w:pPr>
            <w:r>
              <w:rPr>
                <w:rFonts w:hint="eastAsia"/>
                <w:sz w:val="21"/>
                <w:szCs w:val="21"/>
              </w:rPr>
              <w:t>投标人提出疑问和</w:t>
            </w:r>
          </w:p>
          <w:p>
            <w:pPr>
              <w:pStyle w:val="63"/>
              <w:spacing w:line="360" w:lineRule="auto"/>
              <w:jc w:val="center"/>
              <w:rPr>
                <w:sz w:val="21"/>
                <w:szCs w:val="21"/>
              </w:rPr>
            </w:pPr>
            <w:r>
              <w:rPr>
                <w:rFonts w:hint="eastAsia"/>
                <w:sz w:val="21"/>
                <w:szCs w:val="21"/>
              </w:rPr>
              <w:t>异议的截止时间</w:t>
            </w:r>
          </w:p>
        </w:tc>
        <w:tc>
          <w:tcPr>
            <w:tcW w:w="7426" w:type="dxa"/>
            <w:vAlign w:val="center"/>
          </w:tcPr>
          <w:p>
            <w:pPr>
              <w:pStyle w:val="63"/>
              <w:spacing w:line="360" w:lineRule="auto"/>
              <w:rPr>
                <w:sz w:val="21"/>
                <w:szCs w:val="21"/>
              </w:rPr>
            </w:pPr>
            <w:r>
              <w:rPr>
                <w:rFonts w:hint="eastAsia"/>
                <w:sz w:val="21"/>
                <w:szCs w:val="21"/>
              </w:rPr>
              <w:t>202</w:t>
            </w:r>
            <w:r>
              <w:rPr>
                <w:rFonts w:hint="eastAsia"/>
                <w:sz w:val="21"/>
                <w:szCs w:val="21"/>
                <w:lang w:val="en-US" w:eastAsia="zh-CN"/>
              </w:rPr>
              <w:t>3</w:t>
            </w:r>
            <w:r>
              <w:rPr>
                <w:rFonts w:hint="eastAsia"/>
                <w:sz w:val="21"/>
                <w:szCs w:val="21"/>
              </w:rPr>
              <w:t>年</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月</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日17时00分（截止时间前在网上提交）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jc w:val="center"/>
        </w:trPr>
        <w:tc>
          <w:tcPr>
            <w:tcW w:w="1004" w:type="dxa"/>
            <w:vMerge w:val="continue"/>
            <w:vAlign w:val="center"/>
          </w:tcPr>
          <w:p>
            <w:pPr>
              <w:pStyle w:val="63"/>
              <w:spacing w:line="360" w:lineRule="auto"/>
              <w:jc w:val="center"/>
              <w:rPr>
                <w:sz w:val="21"/>
                <w:szCs w:val="21"/>
              </w:rPr>
            </w:pPr>
          </w:p>
        </w:tc>
        <w:tc>
          <w:tcPr>
            <w:tcW w:w="1838" w:type="dxa"/>
            <w:vAlign w:val="center"/>
          </w:tcPr>
          <w:p>
            <w:pPr>
              <w:pStyle w:val="63"/>
              <w:spacing w:line="360" w:lineRule="auto"/>
              <w:jc w:val="center"/>
              <w:rPr>
                <w:sz w:val="21"/>
                <w:szCs w:val="21"/>
              </w:rPr>
            </w:pPr>
            <w:r>
              <w:rPr>
                <w:rFonts w:hint="eastAsia"/>
                <w:sz w:val="21"/>
                <w:szCs w:val="21"/>
              </w:rPr>
              <w:t>招标人对投标人所提疑问和异议的答复截止时间</w:t>
            </w:r>
          </w:p>
        </w:tc>
        <w:tc>
          <w:tcPr>
            <w:tcW w:w="7426" w:type="dxa"/>
            <w:vAlign w:val="center"/>
          </w:tcPr>
          <w:p>
            <w:pPr>
              <w:pStyle w:val="63"/>
              <w:spacing w:line="360" w:lineRule="auto"/>
              <w:rPr>
                <w:sz w:val="21"/>
                <w:szCs w:val="21"/>
              </w:rPr>
            </w:pPr>
            <w:r>
              <w:rPr>
                <w:rFonts w:hint="eastAsia"/>
                <w:sz w:val="21"/>
                <w:szCs w:val="21"/>
              </w:rPr>
              <w:t>202</w:t>
            </w:r>
            <w:r>
              <w:rPr>
                <w:rFonts w:hint="eastAsia"/>
                <w:sz w:val="21"/>
                <w:szCs w:val="21"/>
                <w:lang w:val="en-US" w:eastAsia="zh-CN"/>
              </w:rPr>
              <w:t>3</w:t>
            </w:r>
            <w:r>
              <w:rPr>
                <w:rFonts w:hint="eastAsia"/>
                <w:sz w:val="21"/>
                <w:szCs w:val="21"/>
              </w:rPr>
              <w:t>年</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日17时00分（截止时间前在网上提交）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004" w:type="dxa"/>
            <w:vAlign w:val="center"/>
          </w:tcPr>
          <w:p>
            <w:pPr>
              <w:pStyle w:val="63"/>
              <w:spacing w:line="360" w:lineRule="auto"/>
              <w:jc w:val="center"/>
              <w:rPr>
                <w:sz w:val="21"/>
                <w:szCs w:val="21"/>
              </w:rPr>
            </w:pPr>
            <w:r>
              <w:rPr>
                <w:rFonts w:hint="eastAsia"/>
                <w:sz w:val="21"/>
                <w:szCs w:val="21"/>
              </w:rPr>
              <w:t>1.11</w:t>
            </w:r>
          </w:p>
        </w:tc>
        <w:tc>
          <w:tcPr>
            <w:tcW w:w="1838" w:type="dxa"/>
            <w:vAlign w:val="center"/>
          </w:tcPr>
          <w:p>
            <w:pPr>
              <w:pStyle w:val="63"/>
              <w:spacing w:line="360" w:lineRule="auto"/>
              <w:jc w:val="center"/>
              <w:rPr>
                <w:sz w:val="21"/>
                <w:szCs w:val="21"/>
              </w:rPr>
            </w:pPr>
            <w:r>
              <w:rPr>
                <w:rFonts w:hint="eastAsia"/>
                <w:sz w:val="21"/>
                <w:szCs w:val="21"/>
              </w:rPr>
              <w:t>投标截止时间</w:t>
            </w:r>
          </w:p>
        </w:tc>
        <w:tc>
          <w:tcPr>
            <w:tcW w:w="7426" w:type="dxa"/>
          </w:tcPr>
          <w:p>
            <w:pPr>
              <w:pStyle w:val="63"/>
              <w:spacing w:before="142" w:line="360" w:lineRule="auto"/>
              <w:rPr>
                <w:sz w:val="21"/>
                <w:szCs w:val="21"/>
              </w:rPr>
            </w:pPr>
            <w:r>
              <w:rPr>
                <w:rFonts w:hint="eastAsia"/>
                <w:sz w:val="21"/>
                <w:szCs w:val="21"/>
              </w:rPr>
              <w:t>202</w:t>
            </w:r>
            <w:r>
              <w:rPr>
                <w:rFonts w:hint="eastAsia"/>
                <w:sz w:val="21"/>
                <w:szCs w:val="21"/>
                <w:lang w:val="en-US" w:eastAsia="zh-CN"/>
              </w:rPr>
              <w:t>3</w:t>
            </w:r>
            <w:r>
              <w:rPr>
                <w:rFonts w:hint="eastAsia"/>
                <w:sz w:val="21"/>
                <w:szCs w:val="21"/>
              </w:rPr>
              <w:t>年</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月</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日</w:t>
            </w:r>
            <w:r>
              <w:rPr>
                <w:rFonts w:hint="eastAsia"/>
                <w:spacing w:val="15"/>
                <w:w w:val="95"/>
                <w:sz w:val="21"/>
                <w:szCs w:val="21"/>
                <w:u w:val="single"/>
              </w:rPr>
              <w:t xml:space="preserve"> </w:t>
            </w:r>
            <w:r>
              <w:rPr>
                <w:rFonts w:hint="eastAsia"/>
                <w:w w:val="95"/>
                <w:sz w:val="21"/>
                <w:szCs w:val="21"/>
                <w:u w:val="single"/>
              </w:rPr>
              <w:t>9</w:t>
            </w:r>
            <w:r>
              <w:rPr>
                <w:rFonts w:hint="eastAsia"/>
                <w:spacing w:val="16"/>
                <w:w w:val="95"/>
                <w:sz w:val="21"/>
                <w:szCs w:val="21"/>
                <w:u w:val="single"/>
              </w:rPr>
              <w:t xml:space="preserve"> </w:t>
            </w:r>
            <w:r>
              <w:rPr>
                <w:rFonts w:hint="eastAsia"/>
                <w:w w:val="95"/>
                <w:sz w:val="21"/>
                <w:szCs w:val="21"/>
              </w:rPr>
              <w:t>时</w:t>
            </w:r>
            <w:r>
              <w:rPr>
                <w:rFonts w:hint="eastAsia"/>
                <w:spacing w:val="16"/>
                <w:w w:val="95"/>
                <w:sz w:val="21"/>
                <w:szCs w:val="21"/>
                <w:u w:val="single"/>
              </w:rPr>
              <w:t xml:space="preserve"> </w:t>
            </w:r>
            <w:r>
              <w:rPr>
                <w:rFonts w:hint="eastAsia"/>
                <w:w w:val="95"/>
                <w:sz w:val="21"/>
                <w:szCs w:val="21"/>
                <w:u w:val="single"/>
              </w:rPr>
              <w:t>00</w:t>
            </w:r>
            <w:r>
              <w:rPr>
                <w:rFonts w:hint="eastAsia"/>
                <w:spacing w:val="16"/>
                <w:w w:val="95"/>
                <w:sz w:val="21"/>
                <w:szCs w:val="21"/>
                <w:u w:val="single"/>
              </w:rPr>
              <w:t xml:space="preserve"> </w:t>
            </w:r>
            <w:r>
              <w:rPr>
                <w:rFonts w:hint="eastAsia"/>
                <w:w w:val="95"/>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1004" w:type="dxa"/>
            <w:vAlign w:val="center"/>
          </w:tcPr>
          <w:p>
            <w:pPr>
              <w:pStyle w:val="63"/>
              <w:spacing w:line="360" w:lineRule="auto"/>
              <w:jc w:val="center"/>
              <w:rPr>
                <w:sz w:val="21"/>
                <w:szCs w:val="21"/>
              </w:rPr>
            </w:pPr>
            <w:r>
              <w:rPr>
                <w:rFonts w:hint="eastAsia"/>
                <w:sz w:val="21"/>
                <w:szCs w:val="21"/>
              </w:rPr>
              <w:t>1.13.1</w:t>
            </w:r>
          </w:p>
        </w:tc>
        <w:tc>
          <w:tcPr>
            <w:tcW w:w="1838" w:type="dxa"/>
            <w:vAlign w:val="center"/>
          </w:tcPr>
          <w:p>
            <w:pPr>
              <w:pStyle w:val="63"/>
              <w:spacing w:line="360" w:lineRule="auto"/>
              <w:jc w:val="center"/>
              <w:rPr>
                <w:sz w:val="21"/>
                <w:szCs w:val="21"/>
              </w:rPr>
            </w:pPr>
            <w:r>
              <w:rPr>
                <w:rFonts w:hint="eastAsia"/>
                <w:sz w:val="21"/>
                <w:szCs w:val="21"/>
              </w:rPr>
              <w:t>实质性要求和条件</w:t>
            </w:r>
          </w:p>
        </w:tc>
        <w:tc>
          <w:tcPr>
            <w:tcW w:w="7426" w:type="dxa"/>
          </w:tcPr>
          <w:p>
            <w:pPr>
              <w:pStyle w:val="63"/>
              <w:spacing w:before="22" w:line="360" w:lineRule="auto"/>
              <w:ind w:left="107" w:right="-15"/>
              <w:rPr>
                <w:sz w:val="21"/>
                <w:szCs w:val="21"/>
              </w:rPr>
            </w:pPr>
            <w:r>
              <w:rPr>
                <w:rFonts w:hint="eastAsia"/>
                <w:sz w:val="21"/>
                <w:szCs w:val="21"/>
              </w:rPr>
              <w:t>质量、工期、投标有效期、发包人要求、招标范围、合同双方权利义务责任等，不允许负偏离。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004" w:type="dxa"/>
            <w:vAlign w:val="center"/>
          </w:tcPr>
          <w:p>
            <w:pPr>
              <w:pStyle w:val="63"/>
              <w:spacing w:line="360" w:lineRule="auto"/>
              <w:jc w:val="center"/>
              <w:rPr>
                <w:sz w:val="21"/>
                <w:szCs w:val="21"/>
              </w:rPr>
            </w:pPr>
            <w:r>
              <w:rPr>
                <w:rFonts w:hint="eastAsia"/>
                <w:sz w:val="21"/>
                <w:szCs w:val="21"/>
              </w:rPr>
              <w:t>3.1.1</w:t>
            </w:r>
          </w:p>
        </w:tc>
        <w:tc>
          <w:tcPr>
            <w:tcW w:w="1838" w:type="dxa"/>
            <w:vAlign w:val="center"/>
          </w:tcPr>
          <w:p>
            <w:pPr>
              <w:pStyle w:val="63"/>
              <w:spacing w:line="360" w:lineRule="auto"/>
              <w:jc w:val="center"/>
              <w:rPr>
                <w:sz w:val="21"/>
                <w:szCs w:val="21"/>
              </w:rPr>
            </w:pPr>
            <w:r>
              <w:rPr>
                <w:rFonts w:hint="eastAsia"/>
                <w:sz w:val="21"/>
                <w:szCs w:val="21"/>
              </w:rPr>
              <w:t>构成投标文件的</w:t>
            </w:r>
          </w:p>
          <w:p>
            <w:pPr>
              <w:pStyle w:val="63"/>
              <w:spacing w:line="360" w:lineRule="auto"/>
              <w:jc w:val="center"/>
              <w:rPr>
                <w:sz w:val="21"/>
                <w:szCs w:val="21"/>
              </w:rPr>
            </w:pPr>
            <w:r>
              <w:rPr>
                <w:rFonts w:hint="eastAsia"/>
                <w:sz w:val="21"/>
                <w:szCs w:val="21"/>
              </w:rPr>
              <w:t>其他材料</w:t>
            </w:r>
          </w:p>
        </w:tc>
        <w:tc>
          <w:tcPr>
            <w:tcW w:w="7426" w:type="dxa"/>
            <w:vAlign w:val="center"/>
          </w:tcPr>
          <w:p>
            <w:pPr>
              <w:pStyle w:val="63"/>
              <w:spacing w:before="1" w:line="360" w:lineRule="auto"/>
              <w:ind w:firstLine="207" w:firstLineChars="100"/>
              <w:jc w:val="both"/>
              <w:rPr>
                <w:sz w:val="21"/>
                <w:szCs w:val="21"/>
              </w:rPr>
            </w:pPr>
            <w:r>
              <w:rPr>
                <w:rFonts w:hint="eastAsia"/>
                <w:w w:val="99"/>
                <w:sz w:val="21"/>
                <w:szCs w:val="21"/>
                <w:u w:val="single"/>
              </w:rPr>
              <w:t xml:space="preserve"> /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jc w:val="center"/>
        </w:trPr>
        <w:tc>
          <w:tcPr>
            <w:tcW w:w="1004" w:type="dxa"/>
            <w:vAlign w:val="center"/>
          </w:tcPr>
          <w:p>
            <w:pPr>
              <w:pStyle w:val="63"/>
              <w:spacing w:line="360" w:lineRule="auto"/>
              <w:jc w:val="center"/>
              <w:rPr>
                <w:sz w:val="21"/>
                <w:szCs w:val="21"/>
              </w:rPr>
            </w:pPr>
            <w:r>
              <w:rPr>
                <w:rFonts w:hint="eastAsia"/>
                <w:sz w:val="21"/>
                <w:szCs w:val="21"/>
              </w:rPr>
              <w:t>3.2.1</w:t>
            </w:r>
          </w:p>
        </w:tc>
        <w:tc>
          <w:tcPr>
            <w:tcW w:w="1838" w:type="dxa"/>
            <w:vAlign w:val="center"/>
          </w:tcPr>
          <w:p>
            <w:pPr>
              <w:pStyle w:val="63"/>
              <w:spacing w:line="360" w:lineRule="auto"/>
              <w:jc w:val="center"/>
              <w:rPr>
                <w:sz w:val="21"/>
                <w:szCs w:val="21"/>
              </w:rPr>
            </w:pPr>
            <w:r>
              <w:rPr>
                <w:rFonts w:hint="eastAsia"/>
                <w:sz w:val="21"/>
                <w:szCs w:val="21"/>
              </w:rPr>
              <w:t>增值税税金的</w:t>
            </w:r>
          </w:p>
          <w:p>
            <w:pPr>
              <w:pStyle w:val="63"/>
              <w:spacing w:line="360" w:lineRule="auto"/>
              <w:jc w:val="center"/>
              <w:rPr>
                <w:sz w:val="21"/>
                <w:szCs w:val="21"/>
              </w:rPr>
            </w:pPr>
            <w:r>
              <w:rPr>
                <w:rFonts w:hint="eastAsia"/>
                <w:sz w:val="21"/>
                <w:szCs w:val="21"/>
              </w:rPr>
              <w:t>计算方法</w:t>
            </w:r>
          </w:p>
        </w:tc>
        <w:tc>
          <w:tcPr>
            <w:tcW w:w="7426" w:type="dxa"/>
            <w:vAlign w:val="center"/>
          </w:tcPr>
          <w:p>
            <w:pPr>
              <w:pStyle w:val="63"/>
              <w:spacing w:line="360" w:lineRule="auto"/>
              <w:rPr>
                <w:sz w:val="21"/>
                <w:szCs w:val="21"/>
              </w:rPr>
            </w:pPr>
            <w:r>
              <w:rPr>
                <w:rFonts w:hint="eastAsia"/>
                <w:sz w:val="21"/>
                <w:szCs w:val="21"/>
              </w:rPr>
              <w:t>按一般计税方法计算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004" w:type="dxa"/>
            <w:vAlign w:val="center"/>
          </w:tcPr>
          <w:p>
            <w:pPr>
              <w:pStyle w:val="63"/>
              <w:spacing w:line="360" w:lineRule="auto"/>
              <w:ind w:right="90"/>
              <w:jc w:val="center"/>
              <w:rPr>
                <w:sz w:val="21"/>
                <w:szCs w:val="21"/>
              </w:rPr>
            </w:pPr>
            <w:r>
              <w:rPr>
                <w:rFonts w:hint="eastAsia"/>
                <w:sz w:val="21"/>
                <w:szCs w:val="20"/>
              </w:rPr>
              <w:t>3.2.3</w:t>
            </w:r>
          </w:p>
        </w:tc>
        <w:tc>
          <w:tcPr>
            <w:tcW w:w="1838" w:type="dxa"/>
            <w:vAlign w:val="center"/>
          </w:tcPr>
          <w:p>
            <w:pPr>
              <w:pStyle w:val="63"/>
              <w:spacing w:before="130" w:line="360" w:lineRule="auto"/>
              <w:ind w:left="102" w:right="94"/>
              <w:jc w:val="center"/>
              <w:rPr>
                <w:sz w:val="21"/>
                <w:szCs w:val="21"/>
              </w:rPr>
            </w:pPr>
            <w:r>
              <w:rPr>
                <w:rFonts w:hint="eastAsia"/>
                <w:sz w:val="21"/>
                <w:szCs w:val="21"/>
              </w:rPr>
              <w:t>报价方式</w:t>
            </w:r>
          </w:p>
        </w:tc>
        <w:tc>
          <w:tcPr>
            <w:tcW w:w="7426" w:type="dxa"/>
          </w:tcPr>
          <w:p>
            <w:pPr>
              <w:pStyle w:val="63"/>
              <w:spacing w:before="0" w:line="360" w:lineRule="auto"/>
              <w:ind w:left="0" w:right="0"/>
              <w:rPr>
                <w:rFonts w:hint="eastAsia"/>
                <w:color w:val="000000" w:themeColor="text1"/>
                <w:w w:val="100"/>
                <w:sz w:val="21"/>
                <w:highlight w:val="none"/>
                <w14:textFill>
                  <w14:solidFill>
                    <w14:schemeClr w14:val="tx1"/>
                  </w14:solidFill>
                </w14:textFill>
              </w:rPr>
            </w:pPr>
            <w:r>
              <w:rPr>
                <w:rFonts w:hint="eastAsia"/>
                <w:color w:val="000000" w:themeColor="text1"/>
                <w:w w:val="100"/>
                <w:sz w:val="21"/>
                <w:highlight w:val="none"/>
                <w14:textFill>
                  <w14:solidFill>
                    <w14:schemeClr w14:val="tx1"/>
                  </w14:solidFill>
                </w14:textFill>
              </w:rPr>
              <w:t>1、固定总价，一次性包干，今后结算时不作调整。</w:t>
            </w:r>
          </w:p>
          <w:p>
            <w:pPr>
              <w:pStyle w:val="63"/>
              <w:spacing w:before="0" w:line="360" w:lineRule="auto"/>
              <w:ind w:left="0" w:right="0"/>
              <w:rPr>
                <w:rFonts w:hint="eastAsia"/>
                <w:color w:val="000000" w:themeColor="text1"/>
                <w:w w:val="100"/>
                <w:sz w:val="21"/>
                <w:highlight w:val="none"/>
                <w14:textFill>
                  <w14:solidFill>
                    <w14:schemeClr w14:val="tx1"/>
                  </w14:solidFill>
                </w14:textFill>
              </w:rPr>
            </w:pPr>
            <w:r>
              <w:rPr>
                <w:rFonts w:hint="eastAsia"/>
                <w:color w:val="000000" w:themeColor="text1"/>
                <w:w w:val="100"/>
                <w:sz w:val="21"/>
                <w:highlight w:val="none"/>
                <w14:textFill>
                  <w14:solidFill>
                    <w14:schemeClr w14:val="tx1"/>
                  </w14:solidFill>
                </w14:textFill>
              </w:rPr>
              <w:t>2、投标人的投标报价包括：</w:t>
            </w:r>
          </w:p>
          <w:p>
            <w:pPr>
              <w:pStyle w:val="63"/>
              <w:spacing w:before="0" w:line="360" w:lineRule="auto"/>
              <w:ind w:left="0" w:right="0"/>
              <w:rPr>
                <w:rFonts w:hint="eastAsia"/>
                <w:color w:val="000000" w:themeColor="text1"/>
                <w:w w:val="100"/>
                <w:sz w:val="21"/>
                <w:highlight w:val="none"/>
                <w14:textFill>
                  <w14:solidFill>
                    <w14:schemeClr w14:val="tx1"/>
                  </w14:solidFill>
                </w14:textFill>
              </w:rPr>
            </w:pPr>
            <w:r>
              <w:rPr>
                <w:rFonts w:hint="eastAsia"/>
                <w:color w:val="000000" w:themeColor="text1"/>
                <w:w w:val="100"/>
                <w:sz w:val="21"/>
                <w:highlight w:val="none"/>
                <w14:textFill>
                  <w14:solidFill>
                    <w14:schemeClr w14:val="tx1"/>
                  </w14:solidFill>
                </w14:textFill>
              </w:rPr>
              <w:t>①按照本项目招标人提供的设计图纸、货物清单以及本项目</w:t>
            </w:r>
            <w:r>
              <w:rPr>
                <w:rFonts w:hint="eastAsia"/>
                <w:color w:val="000000" w:themeColor="text1"/>
                <w:w w:val="100"/>
                <w:sz w:val="21"/>
                <w:highlight w:val="cyan"/>
                <w14:textFill>
                  <w14:solidFill>
                    <w14:schemeClr w14:val="tx1"/>
                  </w14:solidFill>
                </w14:textFill>
              </w:rPr>
              <w:t>技术要求</w:t>
            </w:r>
            <w:r>
              <w:rPr>
                <w:rFonts w:hint="eastAsia"/>
                <w:color w:val="000000" w:themeColor="text1"/>
                <w:w w:val="100"/>
                <w:sz w:val="21"/>
                <w:highlight w:val="none"/>
                <w14:textFill>
                  <w14:solidFill>
                    <w14:schemeClr w14:val="tx1"/>
                  </w14:solidFill>
                </w14:textFill>
              </w:rPr>
              <w:t>（包括如遇到图纸、货物清单不明确或缺项的内容须无条件满足招标人功能要求进行的设计）；</w:t>
            </w:r>
          </w:p>
          <w:p>
            <w:pPr>
              <w:pStyle w:val="63"/>
              <w:spacing w:before="0" w:line="360" w:lineRule="auto"/>
              <w:ind w:left="0" w:right="0"/>
              <w:rPr>
                <w:rFonts w:hint="eastAsia"/>
                <w:color w:val="000000" w:themeColor="text1"/>
                <w:w w:val="100"/>
                <w:sz w:val="21"/>
                <w:highlight w:val="none"/>
                <w14:textFill>
                  <w14:solidFill>
                    <w14:schemeClr w14:val="tx1"/>
                  </w14:solidFill>
                </w14:textFill>
              </w:rPr>
            </w:pPr>
            <w:r>
              <w:rPr>
                <w:rFonts w:hint="eastAsia"/>
                <w:color w:val="000000" w:themeColor="text1"/>
                <w:w w:val="100"/>
                <w:sz w:val="21"/>
                <w:highlight w:val="none"/>
                <w14:textFill>
                  <w14:solidFill>
                    <w14:schemeClr w14:val="tx1"/>
                  </w14:solidFill>
                </w14:textFill>
              </w:rPr>
              <w:t>②设备费、</w:t>
            </w:r>
            <w:r>
              <w:rPr>
                <w:rFonts w:hint="eastAsia"/>
                <w:color w:val="000000" w:themeColor="text1"/>
                <w:w w:val="100"/>
                <w:sz w:val="21"/>
                <w:highlight w:val="none"/>
                <w:lang w:val="en-US" w:eastAsia="zh-CN"/>
                <w14:textFill>
                  <w14:solidFill>
                    <w14:schemeClr w14:val="tx1"/>
                  </w14:solidFill>
                </w14:textFill>
              </w:rPr>
              <w:t>运杂费、</w:t>
            </w:r>
            <w:r>
              <w:rPr>
                <w:rFonts w:hint="eastAsia"/>
                <w:color w:val="000000" w:themeColor="text1"/>
                <w:w w:val="100"/>
                <w:sz w:val="21"/>
                <w:highlight w:val="none"/>
                <w14:textFill>
                  <w14:solidFill>
                    <w14:schemeClr w14:val="tx1"/>
                  </w14:solidFill>
                </w14:textFill>
              </w:rPr>
              <w:t>运输保险费、卸货费、保管费、仓储费、设备安装费、安装调试费、检测费、技术服务与培训费、试运行费用、验收费、备品备件（含专用工具）费、质保期内的维修保养费、常态化疫情防控</w:t>
            </w:r>
            <w:r>
              <w:rPr>
                <w:rFonts w:hint="eastAsia"/>
                <w:color w:val="000000" w:themeColor="text1"/>
                <w:w w:val="100"/>
                <w:sz w:val="21"/>
                <w:highlight w:val="none"/>
                <w:lang w:eastAsia="zh-CN"/>
                <w14:textFill>
                  <w14:solidFill>
                    <w14:schemeClr w14:val="tx1"/>
                  </w14:solidFill>
                </w14:textFill>
              </w:rPr>
              <w:t>、</w:t>
            </w:r>
            <w:r>
              <w:rPr>
                <w:rFonts w:hint="eastAsia"/>
                <w:color w:val="000000" w:themeColor="text1"/>
                <w:w w:val="100"/>
                <w:sz w:val="21"/>
                <w:highlight w:val="none"/>
                <w14:textFill>
                  <w14:solidFill>
                    <w14:schemeClr w14:val="tx1"/>
                  </w14:solidFill>
                </w14:textFill>
              </w:rPr>
              <w:t>规费、税金以及政策性文件规定及合同包含的所有风险、责任等，直至通过验收合格的所有费用；</w:t>
            </w:r>
          </w:p>
          <w:p>
            <w:pPr>
              <w:pStyle w:val="63"/>
              <w:spacing w:before="0" w:line="360" w:lineRule="auto"/>
              <w:ind w:left="0" w:right="0"/>
              <w:rPr>
                <w:rFonts w:hint="eastAsia"/>
                <w:color w:val="000000" w:themeColor="text1"/>
                <w:w w:val="100"/>
                <w:sz w:val="21"/>
                <w:highlight w:val="none"/>
                <w14:textFill>
                  <w14:solidFill>
                    <w14:schemeClr w14:val="tx1"/>
                  </w14:solidFill>
                </w14:textFill>
              </w:rPr>
            </w:pPr>
            <w:r>
              <w:rPr>
                <w:rFonts w:hint="eastAsia"/>
                <w:color w:val="000000" w:themeColor="text1"/>
                <w:w w:val="100"/>
                <w:sz w:val="21"/>
                <w:highlight w:val="none"/>
                <w14:textFill>
                  <w14:solidFill>
                    <w14:schemeClr w14:val="tx1"/>
                  </w14:solidFill>
                </w14:textFill>
              </w:rPr>
              <w:t>③深化设计增加的费用（含材料、设备及安装费）；</w:t>
            </w:r>
          </w:p>
          <w:p>
            <w:pPr>
              <w:pStyle w:val="63"/>
              <w:spacing w:before="0" w:line="360" w:lineRule="auto"/>
              <w:ind w:left="0" w:right="0"/>
              <w:rPr>
                <w:rFonts w:hint="eastAsia"/>
                <w:color w:val="000000" w:themeColor="text1"/>
                <w:w w:val="100"/>
                <w:sz w:val="21"/>
                <w:highlight w:val="none"/>
                <w14:textFill>
                  <w14:solidFill>
                    <w14:schemeClr w14:val="tx1"/>
                  </w14:solidFill>
                </w14:textFill>
              </w:rPr>
            </w:pPr>
            <w:r>
              <w:rPr>
                <w:rFonts w:hint="eastAsia"/>
                <w:color w:val="000000" w:themeColor="text1"/>
                <w:w w:val="100"/>
                <w:sz w:val="21"/>
                <w:highlight w:val="none"/>
                <w14:textFill>
                  <w14:solidFill>
                    <w14:schemeClr w14:val="tx1"/>
                  </w14:solidFill>
                </w14:textFill>
              </w:rPr>
              <w:t>④项目实施过程中的开孔和完工后的填补、修复与清理费用（如用水泥砂浆、砼材料填实设备、框架及建筑结构之间的缝隙；外露的电线、管道修补、批灰、面层修饰等工作）。</w:t>
            </w:r>
          </w:p>
          <w:p>
            <w:pPr>
              <w:pStyle w:val="63"/>
              <w:spacing w:line="360" w:lineRule="auto"/>
              <w:ind w:firstLine="420" w:firstLineChars="200"/>
              <w:rPr>
                <w:rFonts w:hint="eastAsia" w:eastAsia="宋体"/>
                <w:color w:val="000000" w:themeColor="text1"/>
                <w:w w:val="100"/>
                <w:sz w:val="21"/>
                <w:highlight w:val="none"/>
                <w:lang w:val="en-US" w:eastAsia="zh-CN"/>
                <w14:textFill>
                  <w14:solidFill>
                    <w14:schemeClr w14:val="tx1"/>
                  </w14:solidFill>
                </w14:textFill>
              </w:rPr>
            </w:pPr>
            <w:r>
              <w:rPr>
                <w:rFonts w:hint="eastAsia"/>
                <w:color w:val="000000" w:themeColor="text1"/>
                <w:w w:val="100"/>
                <w:sz w:val="21"/>
                <w:highlight w:val="none"/>
                <w14:textFill>
                  <w14:solidFill>
                    <w14:schemeClr w14:val="tx1"/>
                  </w14:solidFill>
                </w14:textFill>
              </w:rPr>
              <w:t>特别提醒：</w:t>
            </w:r>
            <w:r>
              <w:rPr>
                <w:rFonts w:hint="eastAsia"/>
                <w:color w:val="000000" w:themeColor="text1"/>
                <w:w w:val="100"/>
                <w:sz w:val="21"/>
                <w:highlight w:val="none"/>
                <w:lang w:val="en-US" w:eastAsia="zh-CN"/>
                <w14:textFill>
                  <w14:solidFill>
                    <w14:schemeClr w14:val="tx1"/>
                  </w14:solidFill>
                </w14:textFill>
              </w:rPr>
              <w:t>1、本工程为固定总价合同，约定清单明细表与施工图纸及</w:t>
            </w:r>
            <w:r>
              <w:rPr>
                <w:rFonts w:hint="eastAsia"/>
                <w:color w:val="000000" w:themeColor="text1"/>
                <w:w w:val="100"/>
                <w:sz w:val="21"/>
                <w:highlight w:val="cyan"/>
                <w:lang w:val="en-US" w:eastAsia="zh-CN"/>
                <w14:textFill>
                  <w14:solidFill>
                    <w14:schemeClr w14:val="tx1"/>
                  </w14:solidFill>
                </w14:textFill>
              </w:rPr>
              <w:t>技术要求中</w:t>
            </w:r>
            <w:r>
              <w:rPr>
                <w:rFonts w:hint="eastAsia"/>
                <w:color w:val="000000" w:themeColor="text1"/>
                <w:w w:val="100"/>
                <w:sz w:val="21"/>
                <w:highlight w:val="none"/>
                <w:lang w:val="en-US" w:eastAsia="zh-CN"/>
                <w14:textFill>
                  <w14:solidFill>
                    <w14:schemeClr w14:val="tx1"/>
                  </w14:solidFill>
                </w14:textFill>
              </w:rPr>
              <w:t>的工程量存在有偏差的投标人自行考虑此风险（含清单漏项），应在投标阶段复核工程量并将偏差部分考虑至投标报价中。清单明细表与施工图纸及</w:t>
            </w:r>
            <w:r>
              <w:rPr>
                <w:rFonts w:hint="eastAsia"/>
                <w:color w:val="000000" w:themeColor="text1"/>
                <w:w w:val="100"/>
                <w:sz w:val="21"/>
                <w:highlight w:val="cyan"/>
                <w:lang w:val="en-US" w:eastAsia="zh-CN"/>
                <w14:textFill>
                  <w14:solidFill>
                    <w14:schemeClr w14:val="tx1"/>
                  </w14:solidFill>
                </w14:textFill>
              </w:rPr>
              <w:t>技术要求</w:t>
            </w:r>
            <w:r>
              <w:rPr>
                <w:rFonts w:hint="eastAsia"/>
                <w:color w:val="000000" w:themeColor="text1"/>
                <w:w w:val="100"/>
                <w:sz w:val="21"/>
                <w:highlight w:val="none"/>
                <w:lang w:val="en-US" w:eastAsia="zh-CN"/>
                <w14:textFill>
                  <w14:solidFill>
                    <w14:schemeClr w14:val="tx1"/>
                  </w14:solidFill>
                </w14:textFill>
              </w:rPr>
              <w:t>对技术参数以及规格等的描述有矛盾或不一致的以“就高”原则考虑至报价之中。</w:t>
            </w:r>
          </w:p>
          <w:p>
            <w:pPr>
              <w:pStyle w:val="63"/>
              <w:spacing w:before="22" w:line="360" w:lineRule="auto"/>
              <w:ind w:left="107" w:right="-15"/>
              <w:rPr>
                <w:sz w:val="21"/>
                <w:szCs w:val="21"/>
              </w:rPr>
            </w:pPr>
            <w:r>
              <w:rPr>
                <w:rFonts w:hint="eastAsia"/>
                <w:color w:val="000000" w:themeColor="text1"/>
                <w:w w:val="100"/>
                <w:sz w:val="21"/>
                <w:highlight w:val="none"/>
                <w:lang w:val="en-US" w:eastAsia="zh-CN"/>
                <w14:textFill>
                  <w14:solidFill>
                    <w14:schemeClr w14:val="tx1"/>
                  </w14:solidFill>
                </w14:textFill>
              </w:rPr>
              <w:t>2、</w:t>
            </w:r>
            <w:r>
              <w:rPr>
                <w:rFonts w:hint="eastAsia"/>
                <w:color w:val="000000" w:themeColor="text1"/>
                <w:w w:val="100"/>
                <w:sz w:val="21"/>
                <w:highlight w:val="none"/>
                <w14:textFill>
                  <w14:solidFill>
                    <w14:schemeClr w14:val="tx1"/>
                  </w14:solidFill>
                </w14:textFill>
              </w:rPr>
              <w:t>本工程实际发生的货物清单应该以招标人最终批准的由中标人完成的进一步深化设计图纸所对应的货物清单为准，本工程实际发生的货物清单供货安装费用与本次招标货物清单供货安装费用的差额请投标人充分考虑全部包含在本次投标总价中，中标后一律不予调整，</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如因甲方要求增加或减少工作内容，则按实调整</w:t>
            </w:r>
            <w:r>
              <w:rPr>
                <w:rFonts w:hint="eastAsia"/>
                <w:color w:val="000000" w:themeColor="text1"/>
                <w:w w:val="100"/>
                <w:sz w:val="21"/>
                <w:highlight w:val="none"/>
                <w14:textFill>
                  <w14:solidFill>
                    <w14:schemeClr w14:val="tx1"/>
                  </w14:solidFill>
                </w14:textFill>
              </w:rPr>
              <w:t>。</w:t>
            </w:r>
            <w:r>
              <w:rPr>
                <w:rFonts w:hint="eastAsia"/>
                <w:color w:val="000000" w:themeColor="text1"/>
                <w:sz w:val="21"/>
                <w:szCs w:val="22"/>
                <w:highlight w:val="none"/>
                <w14:textFill>
                  <w14:solidFill>
                    <w14:schemeClr w14:val="tx1"/>
                  </w14:solidFill>
                </w14:textFill>
              </w:rPr>
              <w:t>本项目纳入总承包管理范围，总承包管理服务内容详见招标文件，总承包管理服务费已包含在总承包合同价款中，如投标人需总承包单位提供总承包管理服务内容外的其他配合服务，相关费用由投标人综合考虑计入投标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1004" w:type="dxa"/>
            <w:vAlign w:val="center"/>
          </w:tcPr>
          <w:p>
            <w:pPr>
              <w:pStyle w:val="63"/>
              <w:spacing w:line="360" w:lineRule="auto"/>
              <w:jc w:val="center"/>
              <w:rPr>
                <w:sz w:val="21"/>
                <w:szCs w:val="21"/>
              </w:rPr>
            </w:pPr>
            <w:r>
              <w:rPr>
                <w:rFonts w:hint="eastAsia"/>
                <w:sz w:val="21"/>
                <w:szCs w:val="21"/>
              </w:rPr>
              <w:t>3.2.16</w:t>
            </w:r>
          </w:p>
        </w:tc>
        <w:tc>
          <w:tcPr>
            <w:tcW w:w="1838" w:type="dxa"/>
            <w:vAlign w:val="center"/>
          </w:tcPr>
          <w:p>
            <w:pPr>
              <w:pStyle w:val="63"/>
              <w:spacing w:line="360" w:lineRule="auto"/>
              <w:jc w:val="center"/>
              <w:rPr>
                <w:sz w:val="21"/>
                <w:szCs w:val="21"/>
              </w:rPr>
            </w:pPr>
            <w:r>
              <w:rPr>
                <w:rFonts w:hint="eastAsia"/>
                <w:sz w:val="21"/>
                <w:szCs w:val="21"/>
              </w:rPr>
              <w:t>招标控制价</w:t>
            </w:r>
          </w:p>
        </w:tc>
        <w:tc>
          <w:tcPr>
            <w:tcW w:w="7426" w:type="dxa"/>
          </w:tcPr>
          <w:p>
            <w:pPr>
              <w:pStyle w:val="63"/>
              <w:spacing w:before="22" w:line="360" w:lineRule="auto"/>
              <w:ind w:right="-15"/>
              <w:rPr>
                <w:sz w:val="21"/>
                <w:szCs w:val="21"/>
              </w:rPr>
            </w:pPr>
            <w:r>
              <w:rPr>
                <w:rFonts w:hint="eastAsia"/>
                <w:sz w:val="21"/>
                <w:szCs w:val="21"/>
              </w:rPr>
              <w:t>□无</w:t>
            </w:r>
          </w:p>
          <w:p>
            <w:pPr>
              <w:pStyle w:val="63"/>
              <w:spacing w:before="22" w:line="360" w:lineRule="auto"/>
              <w:ind w:right="-15"/>
              <w:rPr>
                <w:sz w:val="21"/>
                <w:szCs w:val="21"/>
              </w:rPr>
            </w:pPr>
            <w:r>
              <w:rPr>
                <w:rFonts w:hint="eastAsia" w:ascii="MS Gothic" w:hAnsi="MS Gothic" w:eastAsia="MS Gothic" w:cs="MS Gothic"/>
                <w:sz w:val="21"/>
                <w:szCs w:val="21"/>
              </w:rPr>
              <w:t>☑</w:t>
            </w:r>
            <w:r>
              <w:rPr>
                <w:rFonts w:hint="eastAsia"/>
                <w:sz w:val="21"/>
                <w:szCs w:val="21"/>
              </w:rPr>
              <w:t>有，最高投标限</w:t>
            </w:r>
            <w:r>
              <w:rPr>
                <w:rFonts w:hint="eastAsia"/>
                <w:sz w:val="21"/>
                <w:szCs w:val="21"/>
                <w:highlight w:val="none"/>
              </w:rPr>
              <w:t>价：</w:t>
            </w:r>
            <w:r>
              <w:rPr>
                <w:rFonts w:hint="eastAsia"/>
                <w:sz w:val="21"/>
                <w:szCs w:val="21"/>
                <w:highlight w:val="none"/>
                <w:u w:val="single"/>
                <w:lang w:val="en-US" w:eastAsia="zh-CN"/>
              </w:rPr>
              <w:t>260</w:t>
            </w:r>
            <w:r>
              <w:rPr>
                <w:rFonts w:hint="eastAsia"/>
                <w:sz w:val="21"/>
                <w:szCs w:val="21"/>
                <w:highlight w:val="none"/>
              </w:rPr>
              <w:t>万元。凡投</w:t>
            </w:r>
            <w:r>
              <w:rPr>
                <w:rFonts w:hint="eastAsia"/>
                <w:sz w:val="21"/>
                <w:szCs w:val="21"/>
              </w:rPr>
              <w:t>标报价高于或等于最高投标限价的作无效标处理，其投标文件不再进行评审。</w:t>
            </w:r>
          </w:p>
          <w:p>
            <w:pPr>
              <w:pStyle w:val="63"/>
              <w:spacing w:line="360" w:lineRule="auto"/>
              <w:rPr>
                <w:sz w:val="21"/>
                <w:szCs w:val="21"/>
              </w:rPr>
            </w:pPr>
            <w:r>
              <w:rPr>
                <w:rFonts w:hint="eastAsia" w:ascii="MS Gothic" w:hAnsi="MS Gothic" w:eastAsia="MS Gothic" w:cs="MS Gothic"/>
                <w:sz w:val="21"/>
                <w:szCs w:val="21"/>
              </w:rPr>
              <w:t>☑</w:t>
            </w:r>
            <w:r>
              <w:rPr>
                <w:rFonts w:hint="eastAsia"/>
                <w:sz w:val="21"/>
                <w:szCs w:val="21"/>
              </w:rPr>
              <w:t>风险警戒值；为防止投标人恶意低价竞标，本项目招标风险警戒值=最高投标限价×</w:t>
            </w:r>
            <w:r>
              <w:rPr>
                <w:rFonts w:hint="eastAsia"/>
                <w:sz w:val="21"/>
                <w:szCs w:val="21"/>
                <w:highlight w:val="cyan"/>
              </w:rPr>
              <w:t>（1-1</w:t>
            </w:r>
            <w:r>
              <w:rPr>
                <w:rFonts w:hint="eastAsia"/>
                <w:sz w:val="21"/>
                <w:szCs w:val="21"/>
                <w:highlight w:val="cyan"/>
                <w:lang w:val="en-US" w:eastAsia="zh-CN"/>
              </w:rPr>
              <w:t>5</w:t>
            </w:r>
            <w:r>
              <w:rPr>
                <w:rFonts w:hint="eastAsia"/>
                <w:sz w:val="21"/>
                <w:szCs w:val="21"/>
                <w:highlight w:val="cyan"/>
              </w:rPr>
              <w:t>%</w:t>
            </w:r>
            <w:r>
              <w:rPr>
                <w:rFonts w:hint="eastAsia"/>
                <w:sz w:val="21"/>
                <w:szCs w:val="21"/>
                <w:highlight w:val="none"/>
              </w:rPr>
              <w:t>）=</w:t>
            </w:r>
            <w:r>
              <w:rPr>
                <w:rFonts w:hint="eastAsia"/>
                <w:sz w:val="21"/>
                <w:szCs w:val="21"/>
                <w:highlight w:val="none"/>
                <w:u w:val="single"/>
                <w:lang w:val="en-US" w:eastAsia="zh-CN"/>
              </w:rPr>
              <w:t>221</w:t>
            </w:r>
            <w:r>
              <w:rPr>
                <w:rFonts w:hint="eastAsia"/>
                <w:sz w:val="21"/>
                <w:szCs w:val="21"/>
                <w:highlight w:val="none"/>
              </w:rPr>
              <w:t>万元。投</w:t>
            </w:r>
            <w:r>
              <w:rPr>
                <w:rFonts w:hint="eastAsia"/>
                <w:sz w:val="21"/>
                <w:szCs w:val="21"/>
              </w:rPr>
              <w:t>标报价低于招标风险警戒值时，该投标报价不作为计算基准价的计算基数。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004" w:type="dxa"/>
            <w:vAlign w:val="center"/>
          </w:tcPr>
          <w:p>
            <w:pPr>
              <w:pStyle w:val="63"/>
              <w:spacing w:line="360" w:lineRule="auto"/>
              <w:jc w:val="center"/>
              <w:rPr>
                <w:sz w:val="21"/>
                <w:szCs w:val="21"/>
              </w:rPr>
            </w:pPr>
            <w:r>
              <w:rPr>
                <w:rFonts w:hint="eastAsia"/>
                <w:sz w:val="21"/>
                <w:szCs w:val="21"/>
              </w:rPr>
              <w:t>3.3.1</w:t>
            </w:r>
          </w:p>
        </w:tc>
        <w:tc>
          <w:tcPr>
            <w:tcW w:w="1838" w:type="dxa"/>
            <w:vAlign w:val="center"/>
          </w:tcPr>
          <w:p>
            <w:pPr>
              <w:pStyle w:val="63"/>
              <w:spacing w:line="360" w:lineRule="auto"/>
              <w:jc w:val="center"/>
              <w:rPr>
                <w:sz w:val="21"/>
                <w:szCs w:val="21"/>
              </w:rPr>
            </w:pPr>
            <w:r>
              <w:rPr>
                <w:rFonts w:hint="eastAsia"/>
                <w:sz w:val="21"/>
                <w:szCs w:val="21"/>
              </w:rPr>
              <w:t>投标有效期</w:t>
            </w:r>
          </w:p>
        </w:tc>
        <w:tc>
          <w:tcPr>
            <w:tcW w:w="7426" w:type="dxa"/>
            <w:vAlign w:val="bottom"/>
          </w:tcPr>
          <w:p>
            <w:pPr>
              <w:pStyle w:val="63"/>
              <w:spacing w:line="360" w:lineRule="auto"/>
              <w:rPr>
                <w:sz w:val="21"/>
                <w:szCs w:val="21"/>
              </w:rPr>
            </w:pPr>
            <w:r>
              <w:rPr>
                <w:rFonts w:hint="eastAsia"/>
                <w:sz w:val="21"/>
                <w:szCs w:val="21"/>
              </w:rPr>
              <w:t>90 日历天（从投标截止之日算起）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1" w:hRule="atLeast"/>
          <w:jc w:val="center"/>
        </w:trPr>
        <w:tc>
          <w:tcPr>
            <w:tcW w:w="1004" w:type="dxa"/>
            <w:vAlign w:val="center"/>
          </w:tcPr>
          <w:p>
            <w:pPr>
              <w:pStyle w:val="63"/>
              <w:spacing w:line="360" w:lineRule="auto"/>
              <w:jc w:val="center"/>
              <w:rPr>
                <w:sz w:val="21"/>
                <w:szCs w:val="21"/>
              </w:rPr>
            </w:pPr>
            <w:r>
              <w:rPr>
                <w:rFonts w:hint="eastAsia"/>
                <w:sz w:val="21"/>
                <w:szCs w:val="21"/>
              </w:rPr>
              <w:t>3.4.1</w:t>
            </w:r>
          </w:p>
        </w:tc>
        <w:tc>
          <w:tcPr>
            <w:tcW w:w="1838" w:type="dxa"/>
            <w:vAlign w:val="center"/>
          </w:tcPr>
          <w:p>
            <w:pPr>
              <w:pStyle w:val="63"/>
              <w:spacing w:line="360" w:lineRule="auto"/>
              <w:jc w:val="center"/>
              <w:rPr>
                <w:sz w:val="21"/>
                <w:szCs w:val="21"/>
              </w:rPr>
            </w:pPr>
            <w:r>
              <w:rPr>
                <w:rFonts w:hint="eastAsia"/>
                <w:sz w:val="21"/>
                <w:szCs w:val="21"/>
              </w:rPr>
              <w:t>投标保证金</w:t>
            </w:r>
          </w:p>
        </w:tc>
        <w:tc>
          <w:tcPr>
            <w:tcW w:w="7426" w:type="dxa"/>
          </w:tcPr>
          <w:p>
            <w:pPr>
              <w:spacing w:line="36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投标保证金的金</w:t>
            </w:r>
            <w:r>
              <w:rPr>
                <w:rFonts w:hint="eastAsia" w:ascii="Times New Roman" w:hAnsi="Times New Roman" w:eastAsia="宋体" w:cs="Times New Roman"/>
                <w:kern w:val="0"/>
                <w:sz w:val="21"/>
                <w:szCs w:val="21"/>
                <w:highlight w:val="none"/>
              </w:rPr>
              <w:t>额：人民币</w:t>
            </w:r>
            <w:r>
              <w:rPr>
                <w:rFonts w:hint="eastAsia" w:ascii="Times New Roman" w:hAnsi="Times New Roman" w:eastAsia="宋体" w:cs="Times New Roman"/>
                <w:kern w:val="0"/>
                <w:sz w:val="21"/>
                <w:szCs w:val="21"/>
                <w:highlight w:val="cyan"/>
                <w:u w:val="single"/>
                <w:lang w:val="en-US" w:eastAsia="zh-CN"/>
              </w:rPr>
              <w:t>伍</w:t>
            </w:r>
            <w:r>
              <w:rPr>
                <w:rFonts w:hint="eastAsia" w:ascii="Times New Roman" w:hAnsi="Times New Roman" w:eastAsia="宋体" w:cs="Times New Roman"/>
                <w:kern w:val="0"/>
                <w:sz w:val="21"/>
                <w:szCs w:val="21"/>
                <w:highlight w:val="cyan"/>
              </w:rPr>
              <w:t>万元</w:t>
            </w:r>
            <w:r>
              <w:rPr>
                <w:rFonts w:hint="eastAsia" w:ascii="Times New Roman" w:hAnsi="Times New Roman" w:eastAsia="宋体" w:cs="Times New Roman"/>
                <w:kern w:val="0"/>
                <w:sz w:val="21"/>
                <w:szCs w:val="21"/>
                <w:highlight w:val="none"/>
              </w:rPr>
              <w:t>。</w:t>
            </w:r>
          </w:p>
          <w:p>
            <w:pPr>
              <w:spacing w:line="360" w:lineRule="auto"/>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投标保证金形式：</w:t>
            </w:r>
          </w:p>
          <w:p>
            <w:pPr>
              <w:pStyle w:val="14"/>
              <w:spacing w:after="0" w:line="360" w:lineRule="auto"/>
              <w:ind w:left="0" w:leftChars="0"/>
              <w:rPr>
                <w:sz w:val="21"/>
                <w:szCs w:val="21"/>
              </w:rPr>
            </w:pPr>
            <w:r>
              <w:rPr>
                <w:rFonts w:hint="eastAsia"/>
                <w:sz w:val="21"/>
                <w:szCs w:val="21"/>
              </w:rPr>
              <w:t>①</w:t>
            </w:r>
            <w:r>
              <w:rPr>
                <w:rFonts w:hint="eastAsia" w:ascii="MS Gothic" w:hAnsi="MS Gothic" w:eastAsia="MS Gothic" w:cs="MS Gothic"/>
                <w:sz w:val="21"/>
                <w:szCs w:val="21"/>
              </w:rPr>
              <w:t>☑</w:t>
            </w:r>
            <w:r>
              <w:rPr>
                <w:rFonts w:hint="eastAsia"/>
                <w:sz w:val="21"/>
                <w:szCs w:val="21"/>
              </w:rPr>
              <w:t>现金：采用虚拟子账户形式。通过虚拟子账户提交投标保证金的可采用柜面转账（电汇）、网银转账</w:t>
            </w:r>
          </w:p>
          <w:p>
            <w:pPr>
              <w:pStyle w:val="14"/>
              <w:spacing w:after="0" w:line="360" w:lineRule="auto"/>
              <w:ind w:left="0" w:leftChars="0"/>
              <w:rPr>
                <w:sz w:val="21"/>
                <w:szCs w:val="21"/>
              </w:rPr>
            </w:pPr>
            <w:r>
              <w:rPr>
                <w:rFonts w:hint="eastAsia"/>
                <w:sz w:val="21"/>
                <w:szCs w:val="21"/>
              </w:rPr>
              <w:t>提交时间：投标截止时间前转账至缴纳账户</w:t>
            </w:r>
          </w:p>
          <w:p>
            <w:pPr>
              <w:pStyle w:val="63"/>
              <w:spacing w:line="360" w:lineRule="auto"/>
              <w:rPr>
                <w:sz w:val="21"/>
                <w:szCs w:val="21"/>
              </w:rPr>
            </w:pPr>
            <w:r>
              <w:rPr>
                <w:rFonts w:hint="eastAsia"/>
                <w:sz w:val="21"/>
                <w:szCs w:val="21"/>
              </w:rPr>
              <w:t>收 款 人：海盐县公共资源交易中心</w:t>
            </w:r>
          </w:p>
          <w:p>
            <w:pPr>
              <w:pStyle w:val="63"/>
              <w:spacing w:line="360" w:lineRule="auto"/>
              <w:ind w:right="2793"/>
              <w:rPr>
                <w:sz w:val="21"/>
                <w:szCs w:val="21"/>
              </w:rPr>
            </w:pPr>
            <w:r>
              <w:rPr>
                <w:rFonts w:hint="eastAsia"/>
                <w:sz w:val="21"/>
                <w:szCs w:val="21"/>
              </w:rPr>
              <w:t>开户银行：中国银行股份有限公司海盐支行</w:t>
            </w:r>
          </w:p>
          <w:p>
            <w:pPr>
              <w:pStyle w:val="63"/>
              <w:spacing w:line="360" w:lineRule="auto"/>
              <w:ind w:right="2793"/>
              <w:rPr>
                <w:sz w:val="21"/>
                <w:szCs w:val="21"/>
                <w:u w:val="single"/>
              </w:rPr>
            </w:pPr>
            <w:r>
              <w:rPr>
                <w:rFonts w:hint="eastAsia"/>
                <w:sz w:val="21"/>
                <w:szCs w:val="21"/>
              </w:rPr>
              <w:t>缴纳账号：</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p>
          <w:p>
            <w:pPr>
              <w:pStyle w:val="63"/>
              <w:spacing w:line="360" w:lineRule="auto"/>
              <w:rPr>
                <w:sz w:val="21"/>
                <w:szCs w:val="21"/>
              </w:rPr>
            </w:pPr>
            <w:r>
              <w:rPr>
                <w:rFonts w:hint="eastAsia"/>
                <w:sz w:val="21"/>
                <w:szCs w:val="21"/>
              </w:rPr>
              <w:t>②</w:t>
            </w:r>
            <w:r>
              <w:rPr>
                <w:rFonts w:hint="eastAsia" w:ascii="MS Gothic" w:hAnsi="MS Gothic" w:eastAsia="MS Gothic" w:cs="MS Gothic"/>
                <w:sz w:val="21"/>
                <w:szCs w:val="21"/>
              </w:rPr>
              <w:t>☑</w:t>
            </w:r>
            <w:r>
              <w:rPr>
                <w:rFonts w:hint="eastAsia"/>
                <w:sz w:val="21"/>
                <w:szCs w:val="21"/>
              </w:rPr>
              <w:t>年金（采用年金缴纳的，按海盐县相关部门文件的规定办理）</w:t>
            </w:r>
          </w:p>
          <w:p>
            <w:pPr>
              <w:pStyle w:val="63"/>
              <w:spacing w:line="360" w:lineRule="auto"/>
              <w:ind w:right="98"/>
              <w:rPr>
                <w:sz w:val="21"/>
                <w:szCs w:val="21"/>
              </w:rPr>
            </w:pPr>
            <w:r>
              <w:rPr>
                <w:rFonts w:hint="eastAsia"/>
                <w:sz w:val="21"/>
                <w:szCs w:val="21"/>
              </w:rPr>
              <w:t>③</w:t>
            </w:r>
            <w:r>
              <w:rPr>
                <w:rFonts w:hint="eastAsia" w:ascii="MS Gothic" w:hAnsi="MS Gothic" w:eastAsia="MS Gothic" w:cs="MS Gothic"/>
                <w:sz w:val="21"/>
                <w:szCs w:val="21"/>
              </w:rPr>
              <w:t>☑</w:t>
            </w:r>
            <w:r>
              <w:rPr>
                <w:rFonts w:hint="eastAsia"/>
                <w:sz w:val="21"/>
                <w:szCs w:val="21"/>
              </w:rPr>
              <w:t>工程保函：保险保函、银行电子保函、融资担保公司保函（办理保函网址：</w:t>
            </w:r>
            <w:r>
              <w:fldChar w:fldCharType="begin"/>
            </w:r>
            <w:r>
              <w:instrText xml:space="preserve"> HYPERLINK "http://ggzy.haiyan.gov.cn/index/index.html?type=3" \h </w:instrText>
            </w:r>
            <w:r>
              <w:fldChar w:fldCharType="separate"/>
            </w:r>
            <w:r>
              <w:rPr>
                <w:rFonts w:hint="eastAsia"/>
                <w:sz w:val="21"/>
                <w:szCs w:val="21"/>
              </w:rPr>
              <w:t>http://ggzy.haiyan.gov.cn/index/index.html?type=3</w:t>
            </w:r>
            <w:r>
              <w:rPr>
                <w:rFonts w:hint="eastAsia"/>
                <w:sz w:val="21"/>
                <w:szCs w:val="21"/>
              </w:rPr>
              <w:fldChar w:fldCharType="end"/>
            </w:r>
            <w:r>
              <w:rPr>
                <w:rFonts w:hint="eastAsia"/>
                <w:sz w:val="21"/>
                <w:szCs w:val="21"/>
              </w:rPr>
              <w:t>）</w:t>
            </w:r>
          </w:p>
          <w:p>
            <w:pPr>
              <w:pStyle w:val="63"/>
              <w:spacing w:line="360" w:lineRule="auto"/>
              <w:ind w:left="108"/>
              <w:rPr>
                <w:sz w:val="21"/>
                <w:szCs w:val="21"/>
              </w:rPr>
            </w:pPr>
            <w:r>
              <w:rPr>
                <w:rFonts w:hint="eastAsia"/>
                <w:sz w:val="21"/>
                <w:szCs w:val="21"/>
              </w:rPr>
              <w:t>注：由投标人自行登</w:t>
            </w:r>
            <w:r>
              <w:rPr>
                <w:rFonts w:hint="eastAsia"/>
                <w:sz w:val="21"/>
                <w:szCs w:val="21"/>
                <w:lang w:eastAsia="zh-CN"/>
              </w:rPr>
              <w:t>录</w:t>
            </w:r>
            <w:r>
              <w:rPr>
                <w:rFonts w:hint="eastAsia"/>
                <w:szCs w:val="20"/>
              </w:rPr>
              <w:t>嘉兴市公共资源交易网（海盐）</w:t>
            </w:r>
          </w:p>
          <w:p>
            <w:pPr>
              <w:pStyle w:val="63"/>
              <w:spacing w:line="360" w:lineRule="auto"/>
              <w:ind w:left="108" w:right="98"/>
              <w:rPr>
                <w:sz w:val="21"/>
                <w:szCs w:val="21"/>
              </w:rPr>
            </w:pP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）选择相对应的“保证金缴 纳方式”；保证金到账情况请查询“缴纳状态”需显示“已缴纳”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004" w:type="dxa"/>
            <w:vAlign w:val="center"/>
          </w:tcPr>
          <w:p>
            <w:pPr>
              <w:pStyle w:val="63"/>
              <w:spacing w:line="360" w:lineRule="auto"/>
              <w:jc w:val="center"/>
              <w:rPr>
                <w:sz w:val="21"/>
                <w:szCs w:val="21"/>
              </w:rPr>
            </w:pPr>
            <w:r>
              <w:rPr>
                <w:rFonts w:hint="eastAsia"/>
                <w:sz w:val="21"/>
                <w:szCs w:val="21"/>
              </w:rPr>
              <w:t>3.5</w:t>
            </w:r>
          </w:p>
        </w:tc>
        <w:tc>
          <w:tcPr>
            <w:tcW w:w="1838" w:type="dxa"/>
            <w:vAlign w:val="center"/>
          </w:tcPr>
          <w:p>
            <w:pPr>
              <w:pStyle w:val="63"/>
              <w:spacing w:line="360" w:lineRule="auto"/>
              <w:jc w:val="center"/>
              <w:rPr>
                <w:sz w:val="21"/>
                <w:szCs w:val="21"/>
              </w:rPr>
            </w:pPr>
            <w:r>
              <w:rPr>
                <w:rFonts w:hint="eastAsia"/>
                <w:sz w:val="21"/>
                <w:szCs w:val="21"/>
              </w:rPr>
              <w:t>近年完成的类似项目的年份要求</w:t>
            </w:r>
          </w:p>
        </w:tc>
        <w:tc>
          <w:tcPr>
            <w:tcW w:w="7426" w:type="dxa"/>
            <w:vAlign w:val="center"/>
          </w:tcPr>
          <w:p>
            <w:pPr>
              <w:pStyle w:val="63"/>
              <w:spacing w:line="360" w:lineRule="auto"/>
              <w:ind w:firstLine="207" w:firstLineChars="100"/>
              <w:rPr>
                <w:sz w:val="21"/>
                <w:szCs w:val="21"/>
              </w:rPr>
            </w:pPr>
            <w:r>
              <w:rPr>
                <w:rFonts w:hint="eastAsia"/>
                <w:w w:val="99"/>
                <w:sz w:val="21"/>
                <w:szCs w:val="20"/>
                <w:u w:val="single"/>
              </w:rPr>
              <w:t xml:space="preserve"> /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04" w:type="dxa"/>
            <w:vAlign w:val="center"/>
          </w:tcPr>
          <w:p>
            <w:pPr>
              <w:pStyle w:val="63"/>
              <w:spacing w:line="360" w:lineRule="auto"/>
              <w:jc w:val="center"/>
              <w:rPr>
                <w:sz w:val="21"/>
                <w:szCs w:val="21"/>
              </w:rPr>
            </w:pPr>
            <w:r>
              <w:rPr>
                <w:rFonts w:hint="eastAsia"/>
                <w:sz w:val="21"/>
                <w:szCs w:val="21"/>
              </w:rPr>
              <w:t>3.7.3</w:t>
            </w:r>
          </w:p>
        </w:tc>
        <w:tc>
          <w:tcPr>
            <w:tcW w:w="1838" w:type="dxa"/>
            <w:vAlign w:val="center"/>
          </w:tcPr>
          <w:p>
            <w:pPr>
              <w:pStyle w:val="63"/>
              <w:spacing w:line="360" w:lineRule="auto"/>
              <w:jc w:val="center"/>
              <w:rPr>
                <w:sz w:val="21"/>
                <w:szCs w:val="21"/>
              </w:rPr>
            </w:pPr>
            <w:r>
              <w:rPr>
                <w:rFonts w:hint="eastAsia"/>
                <w:sz w:val="21"/>
                <w:szCs w:val="21"/>
              </w:rPr>
              <w:t>签字和（或）盖章</w:t>
            </w:r>
          </w:p>
          <w:p>
            <w:pPr>
              <w:pStyle w:val="63"/>
              <w:spacing w:line="360" w:lineRule="auto"/>
              <w:jc w:val="center"/>
              <w:rPr>
                <w:sz w:val="21"/>
                <w:szCs w:val="21"/>
              </w:rPr>
            </w:pPr>
            <w:r>
              <w:rPr>
                <w:rFonts w:hint="eastAsia"/>
                <w:sz w:val="21"/>
                <w:szCs w:val="21"/>
              </w:rPr>
              <w:t>要求</w:t>
            </w:r>
          </w:p>
        </w:tc>
        <w:tc>
          <w:tcPr>
            <w:tcW w:w="7426" w:type="dxa"/>
            <w:vAlign w:val="center"/>
          </w:tcPr>
          <w:p>
            <w:pPr>
              <w:pStyle w:val="63"/>
              <w:spacing w:line="360" w:lineRule="auto"/>
              <w:rPr>
                <w:sz w:val="21"/>
                <w:szCs w:val="21"/>
              </w:rPr>
            </w:pPr>
            <w:r>
              <w:rPr>
                <w:rFonts w:hint="eastAsia"/>
                <w:sz w:val="21"/>
                <w:szCs w:val="21"/>
              </w:rPr>
              <w:t>详见投标人须知正文有关条款和投标文件格式的要求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jc w:val="center"/>
        </w:trPr>
        <w:tc>
          <w:tcPr>
            <w:tcW w:w="1004" w:type="dxa"/>
            <w:vAlign w:val="center"/>
          </w:tcPr>
          <w:p>
            <w:pPr>
              <w:pStyle w:val="63"/>
              <w:spacing w:line="360" w:lineRule="auto"/>
              <w:jc w:val="center"/>
              <w:rPr>
                <w:sz w:val="21"/>
                <w:szCs w:val="21"/>
              </w:rPr>
            </w:pPr>
            <w:r>
              <w:rPr>
                <w:rFonts w:hint="eastAsia"/>
                <w:sz w:val="21"/>
                <w:szCs w:val="21"/>
              </w:rPr>
              <w:t>3.7.5</w:t>
            </w:r>
          </w:p>
        </w:tc>
        <w:tc>
          <w:tcPr>
            <w:tcW w:w="1838" w:type="dxa"/>
            <w:vAlign w:val="center"/>
          </w:tcPr>
          <w:p>
            <w:pPr>
              <w:pStyle w:val="63"/>
              <w:spacing w:line="360" w:lineRule="auto"/>
              <w:jc w:val="center"/>
              <w:rPr>
                <w:sz w:val="21"/>
                <w:szCs w:val="21"/>
              </w:rPr>
            </w:pPr>
            <w:r>
              <w:rPr>
                <w:rFonts w:hint="eastAsia"/>
                <w:sz w:val="21"/>
                <w:szCs w:val="21"/>
              </w:rPr>
              <w:t>投标文件份数</w:t>
            </w:r>
          </w:p>
        </w:tc>
        <w:tc>
          <w:tcPr>
            <w:tcW w:w="7426" w:type="dxa"/>
            <w:vAlign w:val="center"/>
          </w:tcPr>
          <w:p>
            <w:pPr>
              <w:pStyle w:val="63"/>
              <w:spacing w:line="360" w:lineRule="auto"/>
              <w:rPr>
                <w:sz w:val="21"/>
                <w:szCs w:val="21"/>
                <w:u w:val="single"/>
              </w:rPr>
            </w:pPr>
            <w:r>
              <w:rPr>
                <w:rFonts w:hint="eastAsia"/>
                <w:sz w:val="21"/>
                <w:szCs w:val="21"/>
              </w:rPr>
              <w:t>纸质投标文件份数：</w:t>
            </w:r>
            <w:r>
              <w:rPr>
                <w:rFonts w:hint="eastAsia"/>
                <w:sz w:val="21"/>
                <w:szCs w:val="21"/>
                <w:u w:val="single"/>
              </w:rPr>
              <w:t>一式五份，正本一份，副本四份。（副本可以是正本的复印件）</w:t>
            </w:r>
          </w:p>
          <w:p>
            <w:pPr>
              <w:pStyle w:val="63"/>
              <w:spacing w:line="360" w:lineRule="auto"/>
              <w:rPr>
                <w:sz w:val="21"/>
                <w:szCs w:val="21"/>
                <w:highlight w:val="none"/>
              </w:rPr>
            </w:pPr>
            <w:r>
              <w:rPr>
                <w:rFonts w:hint="eastAsia"/>
                <w:sz w:val="21"/>
                <w:szCs w:val="21"/>
                <w:highlight w:val="none"/>
              </w:rPr>
              <w:t>投标文件电子版（</w:t>
            </w:r>
            <w:r>
              <w:rPr>
                <w:rFonts w:hint="eastAsia"/>
                <w:color w:val="000000"/>
                <w:w w:val="95"/>
                <w:sz w:val="21"/>
                <w:highlight w:val="none"/>
                <w:lang w:val="en-US" w:eastAsia="zh-CN"/>
              </w:rPr>
              <w:t>U盘</w:t>
            </w:r>
            <w:r>
              <w:rPr>
                <w:rFonts w:hint="eastAsia"/>
                <w:sz w:val="21"/>
                <w:szCs w:val="21"/>
                <w:highlight w:val="none"/>
              </w:rPr>
              <w:t>）份数：</w:t>
            </w:r>
            <w:r>
              <w:rPr>
                <w:rFonts w:hint="eastAsia"/>
                <w:sz w:val="21"/>
                <w:szCs w:val="21"/>
                <w:highlight w:val="cyan"/>
                <w:u w:val="single"/>
                <w:lang w:val="en-US" w:eastAsia="zh-CN"/>
              </w:rPr>
              <w:t>不少于1</w:t>
            </w:r>
            <w:r>
              <w:rPr>
                <w:rFonts w:hint="eastAsia"/>
                <w:sz w:val="21"/>
                <w:szCs w:val="21"/>
                <w:highlight w:val="cyan"/>
                <w:u w:val="single"/>
              </w:rPr>
              <w:t xml:space="preserve">份 </w:t>
            </w:r>
            <w:r>
              <w:rPr>
                <w:rFonts w:hint="eastAsia"/>
                <w:sz w:val="21"/>
                <w:szCs w:val="21"/>
                <w:highlight w:val="none"/>
              </w:rPr>
              <w:t>。</w:t>
            </w:r>
          </w:p>
          <w:p>
            <w:pPr>
              <w:pStyle w:val="63"/>
              <w:spacing w:line="360" w:lineRule="auto"/>
              <w:rPr>
                <w:sz w:val="21"/>
                <w:szCs w:val="21"/>
              </w:rPr>
            </w:pPr>
            <w:r>
              <w:rPr>
                <w:rFonts w:hint="eastAsia"/>
                <w:sz w:val="21"/>
                <w:szCs w:val="21"/>
              </w:rPr>
              <w:t>中标人免费复制</w:t>
            </w:r>
            <w:r>
              <w:rPr>
                <w:rFonts w:hint="eastAsia"/>
                <w:sz w:val="21"/>
                <w:szCs w:val="21"/>
                <w:u w:val="single"/>
              </w:rPr>
              <w:t xml:space="preserve"> / </w:t>
            </w:r>
            <w:r>
              <w:rPr>
                <w:rFonts w:hint="eastAsia"/>
                <w:sz w:val="21"/>
                <w:szCs w:val="21"/>
              </w:rPr>
              <w:t>份投标文件供招标人使用和存档。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2" w:hRule="atLeast"/>
          <w:jc w:val="center"/>
        </w:trPr>
        <w:tc>
          <w:tcPr>
            <w:tcW w:w="1004" w:type="dxa"/>
            <w:vAlign w:val="center"/>
          </w:tcPr>
          <w:p>
            <w:pPr>
              <w:pStyle w:val="63"/>
              <w:spacing w:line="360" w:lineRule="auto"/>
              <w:jc w:val="center"/>
              <w:rPr>
                <w:sz w:val="21"/>
                <w:szCs w:val="21"/>
              </w:rPr>
            </w:pPr>
            <w:r>
              <w:rPr>
                <w:rFonts w:hint="eastAsia"/>
                <w:sz w:val="21"/>
                <w:szCs w:val="21"/>
              </w:rPr>
              <w:t>3.7.6</w:t>
            </w:r>
          </w:p>
        </w:tc>
        <w:tc>
          <w:tcPr>
            <w:tcW w:w="1838" w:type="dxa"/>
            <w:vAlign w:val="center"/>
          </w:tcPr>
          <w:p>
            <w:pPr>
              <w:pStyle w:val="63"/>
              <w:spacing w:line="360" w:lineRule="auto"/>
              <w:jc w:val="center"/>
              <w:rPr>
                <w:sz w:val="21"/>
                <w:szCs w:val="21"/>
              </w:rPr>
            </w:pPr>
            <w:r>
              <w:rPr>
                <w:rFonts w:hint="eastAsia"/>
                <w:sz w:val="21"/>
                <w:szCs w:val="21"/>
              </w:rPr>
              <w:t>投标文件装订</w:t>
            </w:r>
          </w:p>
        </w:tc>
        <w:tc>
          <w:tcPr>
            <w:tcW w:w="7426" w:type="dxa"/>
          </w:tcPr>
          <w:p>
            <w:pPr>
              <w:pStyle w:val="63"/>
              <w:spacing w:line="360" w:lineRule="auto"/>
              <w:rPr>
                <w:sz w:val="21"/>
                <w:szCs w:val="21"/>
              </w:rPr>
            </w:pPr>
            <w:r>
              <w:rPr>
                <w:rFonts w:hint="eastAsia"/>
                <w:sz w:val="21"/>
                <w:szCs w:val="21"/>
              </w:rPr>
              <w:t>按照投标人须知3.1款规定的投标文件组成内容，投标文件应按以下要求装订：</w:t>
            </w:r>
          </w:p>
          <w:p>
            <w:pPr>
              <w:pStyle w:val="63"/>
              <w:spacing w:line="360" w:lineRule="auto"/>
              <w:rPr>
                <w:sz w:val="21"/>
                <w:szCs w:val="21"/>
              </w:rPr>
            </w:pPr>
            <w:r>
              <w:rPr>
                <w:rFonts w:hint="eastAsia"/>
                <w:sz w:val="21"/>
                <w:szCs w:val="21"/>
              </w:rPr>
              <w:t>□不分册装订</w:t>
            </w:r>
          </w:p>
          <w:p>
            <w:pPr>
              <w:pStyle w:val="63"/>
              <w:spacing w:line="360" w:lineRule="auto"/>
              <w:rPr>
                <w:sz w:val="21"/>
                <w:szCs w:val="21"/>
              </w:rPr>
            </w:pPr>
            <w:r>
              <w:rPr>
                <w:rFonts w:hint="eastAsia" w:ascii="MS Gothic" w:hAnsi="MS Gothic" w:eastAsia="MS Gothic" w:cs="MS Gothic"/>
                <w:sz w:val="21"/>
                <w:szCs w:val="21"/>
              </w:rPr>
              <w:t>☑</w:t>
            </w:r>
            <w:r>
              <w:rPr>
                <w:rFonts w:hint="eastAsia"/>
                <w:sz w:val="21"/>
                <w:szCs w:val="21"/>
              </w:rPr>
              <w:t>分册装订，共分3册，分别为：</w:t>
            </w:r>
          </w:p>
          <w:p>
            <w:pPr>
              <w:pStyle w:val="63"/>
              <w:spacing w:line="360" w:lineRule="auto"/>
              <w:rPr>
                <w:sz w:val="21"/>
                <w:szCs w:val="20"/>
              </w:rPr>
            </w:pPr>
            <w:r>
              <w:rPr>
                <w:rFonts w:hint="eastAsia"/>
                <w:sz w:val="21"/>
                <w:szCs w:val="21"/>
                <w:u w:val="single"/>
              </w:rPr>
              <w:t>（1）商务标部分；（2）资信、技术标部分；（3）投标文件电子版</w:t>
            </w:r>
            <w:r>
              <w:rPr>
                <w:rFonts w:hint="eastAsia"/>
                <w:sz w:val="21"/>
                <w:szCs w:val="21"/>
                <w:highlight w:val="cyan"/>
                <w:u w:val="single"/>
              </w:rPr>
              <w:t>（U盘）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jc w:val="center"/>
        </w:trPr>
        <w:tc>
          <w:tcPr>
            <w:tcW w:w="1004" w:type="dxa"/>
            <w:vAlign w:val="center"/>
          </w:tcPr>
          <w:p>
            <w:pPr>
              <w:pStyle w:val="63"/>
              <w:spacing w:line="360" w:lineRule="auto"/>
              <w:jc w:val="center"/>
              <w:rPr>
                <w:sz w:val="21"/>
                <w:szCs w:val="21"/>
              </w:rPr>
            </w:pPr>
            <w:r>
              <w:rPr>
                <w:rFonts w:hint="eastAsia"/>
                <w:sz w:val="21"/>
                <w:szCs w:val="21"/>
              </w:rPr>
              <w:t>4.1.2</w:t>
            </w:r>
          </w:p>
        </w:tc>
        <w:tc>
          <w:tcPr>
            <w:tcW w:w="1838" w:type="dxa"/>
            <w:vAlign w:val="center"/>
          </w:tcPr>
          <w:p>
            <w:pPr>
              <w:pStyle w:val="63"/>
              <w:spacing w:line="360" w:lineRule="auto"/>
              <w:jc w:val="center"/>
              <w:rPr>
                <w:sz w:val="21"/>
                <w:szCs w:val="21"/>
              </w:rPr>
            </w:pPr>
            <w:r>
              <w:rPr>
                <w:rFonts w:hint="eastAsia"/>
                <w:sz w:val="21"/>
                <w:szCs w:val="21"/>
              </w:rPr>
              <w:t>投标文件封套上写明</w:t>
            </w:r>
          </w:p>
        </w:tc>
        <w:tc>
          <w:tcPr>
            <w:tcW w:w="7426" w:type="dxa"/>
          </w:tcPr>
          <w:p>
            <w:pPr>
              <w:pStyle w:val="63"/>
              <w:spacing w:line="360" w:lineRule="auto"/>
              <w:rPr>
                <w:sz w:val="21"/>
                <w:szCs w:val="21"/>
              </w:rPr>
            </w:pPr>
            <w:r>
              <w:rPr>
                <w:rFonts w:hint="eastAsia"/>
                <w:sz w:val="21"/>
                <w:szCs w:val="21"/>
              </w:rPr>
              <w:t>项目名称：</w:t>
            </w:r>
            <w:r>
              <w:rPr>
                <w:rFonts w:hint="eastAsia"/>
                <w:sz w:val="21"/>
                <w:szCs w:val="21"/>
                <w:u w:val="single"/>
              </w:rPr>
              <w:t xml:space="preserve">                                  </w:t>
            </w:r>
          </w:p>
          <w:p>
            <w:pPr>
              <w:pStyle w:val="63"/>
              <w:spacing w:line="360" w:lineRule="auto"/>
              <w:rPr>
                <w:sz w:val="21"/>
                <w:szCs w:val="21"/>
              </w:rPr>
            </w:pPr>
            <w:r>
              <w:rPr>
                <w:rFonts w:hint="eastAsia"/>
                <w:sz w:val="21"/>
                <w:szCs w:val="21"/>
              </w:rPr>
              <w:t>投标文件内容：</w:t>
            </w:r>
            <w:r>
              <w:rPr>
                <w:rFonts w:hint="eastAsia"/>
                <w:sz w:val="21"/>
                <w:szCs w:val="21"/>
                <w:u w:val="single"/>
              </w:rPr>
              <w:t xml:space="preserve">                              </w:t>
            </w:r>
          </w:p>
          <w:p>
            <w:pPr>
              <w:pStyle w:val="63"/>
              <w:spacing w:line="360" w:lineRule="auto"/>
              <w:rPr>
                <w:sz w:val="21"/>
                <w:szCs w:val="20"/>
              </w:rPr>
            </w:pPr>
            <w:r>
              <w:rPr>
                <w:rFonts w:hint="eastAsia"/>
                <w:sz w:val="21"/>
                <w:szCs w:val="21"/>
              </w:rPr>
              <w:t>投标人名称：</w:t>
            </w:r>
            <w:r>
              <w:rPr>
                <w:rFonts w:hint="eastAsia"/>
                <w:sz w:val="21"/>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004" w:type="dxa"/>
            <w:vAlign w:val="center"/>
          </w:tcPr>
          <w:p>
            <w:pPr>
              <w:pStyle w:val="63"/>
              <w:spacing w:line="360" w:lineRule="auto"/>
              <w:jc w:val="center"/>
              <w:rPr>
                <w:sz w:val="21"/>
                <w:szCs w:val="21"/>
              </w:rPr>
            </w:pPr>
            <w:r>
              <w:rPr>
                <w:rFonts w:hint="eastAsia"/>
                <w:sz w:val="21"/>
                <w:szCs w:val="21"/>
              </w:rPr>
              <w:t>4.2.2</w:t>
            </w:r>
          </w:p>
        </w:tc>
        <w:tc>
          <w:tcPr>
            <w:tcW w:w="1838" w:type="dxa"/>
            <w:vAlign w:val="center"/>
          </w:tcPr>
          <w:p>
            <w:pPr>
              <w:pStyle w:val="63"/>
              <w:spacing w:line="360" w:lineRule="auto"/>
              <w:jc w:val="center"/>
              <w:rPr>
                <w:sz w:val="21"/>
                <w:szCs w:val="21"/>
              </w:rPr>
            </w:pPr>
            <w:r>
              <w:rPr>
                <w:rFonts w:hint="eastAsia"/>
                <w:sz w:val="21"/>
                <w:szCs w:val="21"/>
              </w:rPr>
              <w:t>递交投标文件地点</w:t>
            </w:r>
          </w:p>
        </w:tc>
        <w:tc>
          <w:tcPr>
            <w:tcW w:w="7426" w:type="dxa"/>
            <w:vAlign w:val="center"/>
          </w:tcPr>
          <w:p>
            <w:pPr>
              <w:pStyle w:val="63"/>
              <w:spacing w:before="125" w:line="360" w:lineRule="auto"/>
              <w:rPr>
                <w:sz w:val="21"/>
                <w:szCs w:val="20"/>
              </w:rPr>
            </w:pPr>
            <w:r>
              <w:rPr>
                <w:rFonts w:hint="eastAsia"/>
                <w:color w:val="000000"/>
                <w:sz w:val="21"/>
                <w:highlight w:val="none"/>
              </w:rPr>
              <w:t>投标人在投标截止时间前，将纸质投标文件按照招标文件要求密封后</w:t>
            </w:r>
            <w:r>
              <w:rPr>
                <w:rFonts w:hint="eastAsia" w:cs="宋体"/>
                <w:color w:val="000000"/>
                <w:sz w:val="21"/>
                <w:szCs w:val="21"/>
                <w:highlight w:val="none"/>
                <w:u w:val="none"/>
                <w:lang w:val="en-US" w:eastAsia="zh-CN" w:bidi="ar-SA"/>
              </w:rPr>
              <w:t>（快递外包装上务必注明项目名称，不需注明投标单位名称等相关信息）</w:t>
            </w:r>
            <w:r>
              <w:rPr>
                <w:rFonts w:hint="eastAsia"/>
                <w:color w:val="000000"/>
                <w:sz w:val="21"/>
                <w:highlight w:val="none"/>
              </w:rPr>
              <w:t>，通过邮寄快递（建议顺丰、邮政）方式递交至招标代理单位(不得递交海盐县公共资源交易中心)。邮寄地址：</w:t>
            </w:r>
            <w:r>
              <w:rPr>
                <w:rFonts w:hint="eastAsia"/>
                <w:color w:val="000000"/>
                <w:sz w:val="21"/>
                <w:szCs w:val="21"/>
                <w:highlight w:val="none"/>
                <w:u w:val="single"/>
                <w:lang w:val="en-US" w:eastAsia="zh-CN"/>
              </w:rPr>
              <w:t>浙江省嘉兴市海盐县人民医院迁建工程项目部（滨海大道与乐园路交叉口）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004" w:type="dxa"/>
            <w:vAlign w:val="center"/>
          </w:tcPr>
          <w:p>
            <w:pPr>
              <w:pStyle w:val="63"/>
              <w:spacing w:line="360" w:lineRule="auto"/>
              <w:jc w:val="center"/>
              <w:rPr>
                <w:sz w:val="21"/>
                <w:szCs w:val="21"/>
              </w:rPr>
            </w:pPr>
            <w:r>
              <w:rPr>
                <w:rFonts w:hint="eastAsia"/>
                <w:sz w:val="21"/>
                <w:szCs w:val="21"/>
              </w:rPr>
              <w:t>5.1.1</w:t>
            </w:r>
          </w:p>
        </w:tc>
        <w:tc>
          <w:tcPr>
            <w:tcW w:w="1838" w:type="dxa"/>
            <w:vAlign w:val="center"/>
          </w:tcPr>
          <w:p>
            <w:pPr>
              <w:pStyle w:val="63"/>
              <w:spacing w:line="360" w:lineRule="auto"/>
              <w:jc w:val="center"/>
              <w:rPr>
                <w:sz w:val="21"/>
                <w:szCs w:val="21"/>
              </w:rPr>
            </w:pPr>
            <w:r>
              <w:rPr>
                <w:rFonts w:hint="eastAsia"/>
                <w:sz w:val="21"/>
                <w:szCs w:val="21"/>
              </w:rPr>
              <w:t>开标时间和地点</w:t>
            </w:r>
          </w:p>
        </w:tc>
        <w:tc>
          <w:tcPr>
            <w:tcW w:w="7426" w:type="dxa"/>
          </w:tcPr>
          <w:p>
            <w:pPr>
              <w:pStyle w:val="63"/>
              <w:spacing w:line="360" w:lineRule="auto"/>
              <w:rPr>
                <w:sz w:val="21"/>
                <w:szCs w:val="21"/>
              </w:rPr>
            </w:pPr>
            <w:r>
              <w:rPr>
                <w:rFonts w:hint="eastAsia"/>
                <w:sz w:val="21"/>
                <w:szCs w:val="21"/>
              </w:rPr>
              <w:t>开标时间：同投标截止时间</w:t>
            </w:r>
          </w:p>
          <w:p>
            <w:pPr>
              <w:pStyle w:val="63"/>
              <w:spacing w:line="360" w:lineRule="auto"/>
              <w:rPr>
                <w:sz w:val="21"/>
                <w:szCs w:val="21"/>
              </w:rPr>
            </w:pPr>
            <w:r>
              <w:rPr>
                <w:rFonts w:hint="eastAsia"/>
                <w:sz w:val="21"/>
                <w:szCs w:val="21"/>
              </w:rPr>
              <w:t>开标地点：海盐县公共资源交易中心</w:t>
            </w:r>
            <w:r>
              <w:rPr>
                <w:rFonts w:hint="eastAsia"/>
                <w:sz w:val="21"/>
                <w:szCs w:val="21"/>
                <w:u w:val="single"/>
              </w:rPr>
              <w:t xml:space="preserve">  </w:t>
            </w:r>
            <w:r>
              <w:rPr>
                <w:rFonts w:hint="eastAsia"/>
                <w:sz w:val="21"/>
                <w:szCs w:val="21"/>
                <w:u w:val="single"/>
                <w:lang w:val="en-US" w:eastAsia="zh-CN"/>
              </w:rPr>
              <w:t>3</w:t>
            </w:r>
            <w:r>
              <w:rPr>
                <w:rFonts w:hint="eastAsia"/>
                <w:sz w:val="21"/>
                <w:szCs w:val="21"/>
                <w:u w:val="single"/>
              </w:rPr>
              <w:t xml:space="preserve">  </w:t>
            </w:r>
            <w:r>
              <w:rPr>
                <w:rFonts w:hint="eastAsia"/>
                <w:sz w:val="21"/>
                <w:szCs w:val="21"/>
              </w:rPr>
              <w:t>楼</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号开标室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04" w:type="dxa"/>
            <w:vAlign w:val="center"/>
          </w:tcPr>
          <w:p>
            <w:pPr>
              <w:pStyle w:val="63"/>
              <w:spacing w:line="360" w:lineRule="auto"/>
              <w:jc w:val="center"/>
              <w:rPr>
                <w:sz w:val="21"/>
                <w:szCs w:val="21"/>
              </w:rPr>
            </w:pPr>
            <w:r>
              <w:rPr>
                <w:rFonts w:hint="eastAsia"/>
                <w:sz w:val="21"/>
                <w:szCs w:val="21"/>
              </w:rPr>
              <w:t>5.1.2</w:t>
            </w:r>
          </w:p>
        </w:tc>
        <w:tc>
          <w:tcPr>
            <w:tcW w:w="1838" w:type="dxa"/>
            <w:vAlign w:val="center"/>
          </w:tcPr>
          <w:p>
            <w:pPr>
              <w:pStyle w:val="63"/>
              <w:spacing w:line="360" w:lineRule="auto"/>
              <w:jc w:val="center"/>
              <w:rPr>
                <w:sz w:val="21"/>
                <w:szCs w:val="21"/>
              </w:rPr>
            </w:pPr>
            <w:r>
              <w:rPr>
                <w:rFonts w:hint="eastAsia"/>
                <w:sz w:val="21"/>
                <w:szCs w:val="21"/>
              </w:rPr>
              <w:t>参加开标会的人员和携带的证件要求</w:t>
            </w:r>
          </w:p>
        </w:tc>
        <w:tc>
          <w:tcPr>
            <w:tcW w:w="7426" w:type="dxa"/>
            <w:vAlign w:val="center"/>
          </w:tcPr>
          <w:p>
            <w:pPr>
              <w:pStyle w:val="63"/>
              <w:tabs>
                <w:tab w:val="left" w:pos="319"/>
              </w:tabs>
              <w:spacing w:before="33" w:line="360" w:lineRule="auto"/>
              <w:ind w:left="107"/>
              <w:jc w:val="center"/>
              <w:rPr>
                <w:sz w:val="21"/>
                <w:szCs w:val="21"/>
              </w:rPr>
            </w:pPr>
            <w:r>
              <w:rPr>
                <w:rFonts w:hint="eastAsia"/>
                <w:b/>
                <w:bCs/>
                <w:sz w:val="21"/>
                <w:szCs w:val="21"/>
              </w:rPr>
              <w:t>疫情期间为避免人员集聚，投标人不参加现场开标会，开标结果视为投标人默认。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1004" w:type="dxa"/>
            <w:vAlign w:val="center"/>
          </w:tcPr>
          <w:p>
            <w:pPr>
              <w:pStyle w:val="63"/>
              <w:spacing w:line="360" w:lineRule="auto"/>
              <w:jc w:val="center"/>
              <w:rPr>
                <w:sz w:val="21"/>
                <w:szCs w:val="21"/>
              </w:rPr>
            </w:pPr>
            <w:r>
              <w:rPr>
                <w:rFonts w:hint="eastAsia"/>
                <w:sz w:val="21"/>
                <w:szCs w:val="21"/>
              </w:rPr>
              <w:t>6.1.1</w:t>
            </w:r>
          </w:p>
        </w:tc>
        <w:tc>
          <w:tcPr>
            <w:tcW w:w="1838" w:type="dxa"/>
            <w:vAlign w:val="center"/>
          </w:tcPr>
          <w:p>
            <w:pPr>
              <w:pStyle w:val="63"/>
              <w:spacing w:line="360" w:lineRule="auto"/>
              <w:jc w:val="center"/>
              <w:rPr>
                <w:sz w:val="21"/>
                <w:szCs w:val="21"/>
              </w:rPr>
            </w:pPr>
            <w:r>
              <w:rPr>
                <w:rFonts w:hint="eastAsia"/>
                <w:sz w:val="21"/>
                <w:szCs w:val="21"/>
              </w:rPr>
              <w:t>评标委员会的组建</w:t>
            </w:r>
          </w:p>
        </w:tc>
        <w:tc>
          <w:tcPr>
            <w:tcW w:w="7426" w:type="dxa"/>
          </w:tcPr>
          <w:p>
            <w:pPr>
              <w:pStyle w:val="63"/>
              <w:spacing w:before="130" w:line="360" w:lineRule="auto"/>
              <w:ind w:left="108"/>
              <w:rPr>
                <w:sz w:val="21"/>
                <w:szCs w:val="21"/>
              </w:rPr>
            </w:pPr>
            <w:r>
              <w:rPr>
                <w:rFonts w:hint="eastAsia"/>
                <w:sz w:val="21"/>
                <w:szCs w:val="21"/>
              </w:rPr>
              <w:t>评标委员会由5人或以上单数组成，其中：招标人代表1人，其余经济、技术专家按相关规定产生从浙江省综合专家库中抽取。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1004" w:type="dxa"/>
            <w:vAlign w:val="center"/>
          </w:tcPr>
          <w:p>
            <w:pPr>
              <w:pStyle w:val="63"/>
              <w:spacing w:line="360" w:lineRule="auto"/>
              <w:jc w:val="center"/>
              <w:rPr>
                <w:sz w:val="21"/>
                <w:szCs w:val="21"/>
              </w:rPr>
            </w:pPr>
            <w:r>
              <w:rPr>
                <w:rFonts w:hint="eastAsia"/>
                <w:sz w:val="21"/>
                <w:szCs w:val="21"/>
              </w:rPr>
              <w:t>7.1.1</w:t>
            </w:r>
          </w:p>
        </w:tc>
        <w:tc>
          <w:tcPr>
            <w:tcW w:w="1838" w:type="dxa"/>
            <w:vAlign w:val="center"/>
          </w:tcPr>
          <w:p>
            <w:pPr>
              <w:pStyle w:val="63"/>
              <w:spacing w:line="360" w:lineRule="auto"/>
              <w:jc w:val="center"/>
              <w:rPr>
                <w:sz w:val="21"/>
                <w:szCs w:val="21"/>
              </w:rPr>
            </w:pPr>
            <w:r>
              <w:rPr>
                <w:rFonts w:hint="eastAsia"/>
                <w:sz w:val="21"/>
                <w:szCs w:val="21"/>
              </w:rPr>
              <w:t>评标委员会推荐</w:t>
            </w:r>
          </w:p>
          <w:p>
            <w:pPr>
              <w:pStyle w:val="63"/>
              <w:spacing w:line="360" w:lineRule="auto"/>
              <w:jc w:val="center"/>
              <w:rPr>
                <w:sz w:val="21"/>
                <w:szCs w:val="21"/>
              </w:rPr>
            </w:pPr>
            <w:r>
              <w:rPr>
                <w:rFonts w:hint="eastAsia"/>
                <w:sz w:val="21"/>
                <w:szCs w:val="21"/>
              </w:rPr>
              <w:t>中标候选人数量</w:t>
            </w:r>
          </w:p>
        </w:tc>
        <w:tc>
          <w:tcPr>
            <w:tcW w:w="7426" w:type="dxa"/>
            <w:vAlign w:val="center"/>
          </w:tcPr>
          <w:p>
            <w:pPr>
              <w:pStyle w:val="63"/>
              <w:spacing w:line="360" w:lineRule="auto"/>
              <w:ind w:firstLine="210" w:firstLineChars="100"/>
              <w:rPr>
                <w:sz w:val="21"/>
                <w:szCs w:val="21"/>
              </w:rPr>
            </w:pPr>
            <w:r>
              <w:rPr>
                <w:rFonts w:hint="eastAsia"/>
                <w:sz w:val="21"/>
                <w:szCs w:val="21"/>
                <w:u w:val="single"/>
              </w:rPr>
              <w:t>3</w:t>
            </w:r>
            <w:r>
              <w:rPr>
                <w:rFonts w:hint="eastAsia"/>
                <w:sz w:val="21"/>
                <w:szCs w:val="21"/>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04" w:type="dxa"/>
            <w:vAlign w:val="center"/>
          </w:tcPr>
          <w:p>
            <w:pPr>
              <w:pStyle w:val="63"/>
              <w:spacing w:line="360" w:lineRule="auto"/>
              <w:jc w:val="center"/>
              <w:rPr>
                <w:sz w:val="21"/>
                <w:szCs w:val="21"/>
              </w:rPr>
            </w:pPr>
            <w:r>
              <w:rPr>
                <w:rFonts w:hint="eastAsia"/>
                <w:sz w:val="21"/>
                <w:szCs w:val="21"/>
              </w:rPr>
              <w:t>7.11.2</w:t>
            </w:r>
          </w:p>
        </w:tc>
        <w:tc>
          <w:tcPr>
            <w:tcW w:w="1838" w:type="dxa"/>
            <w:vAlign w:val="center"/>
          </w:tcPr>
          <w:p>
            <w:pPr>
              <w:pStyle w:val="63"/>
              <w:spacing w:line="360" w:lineRule="auto"/>
              <w:jc w:val="center"/>
              <w:rPr>
                <w:sz w:val="21"/>
                <w:szCs w:val="21"/>
              </w:rPr>
            </w:pPr>
            <w:r>
              <w:rPr>
                <w:rFonts w:hint="eastAsia"/>
                <w:sz w:val="21"/>
                <w:szCs w:val="21"/>
              </w:rPr>
              <w:t>中标候选人公示</w:t>
            </w:r>
          </w:p>
          <w:p>
            <w:pPr>
              <w:pStyle w:val="63"/>
              <w:spacing w:line="360" w:lineRule="auto"/>
              <w:jc w:val="center"/>
              <w:rPr>
                <w:sz w:val="21"/>
                <w:szCs w:val="21"/>
              </w:rPr>
            </w:pPr>
            <w:r>
              <w:rPr>
                <w:rFonts w:hint="eastAsia"/>
                <w:sz w:val="21"/>
                <w:szCs w:val="21"/>
              </w:rPr>
              <w:t>媒介及期限</w:t>
            </w:r>
          </w:p>
        </w:tc>
        <w:tc>
          <w:tcPr>
            <w:tcW w:w="7426" w:type="dxa"/>
          </w:tcPr>
          <w:p>
            <w:pPr>
              <w:pStyle w:val="63"/>
              <w:spacing w:line="360" w:lineRule="auto"/>
              <w:rPr>
                <w:sz w:val="21"/>
                <w:szCs w:val="21"/>
              </w:rPr>
            </w:pPr>
            <w:r>
              <w:rPr>
                <w:rFonts w:hint="eastAsia"/>
                <w:sz w:val="21"/>
                <w:szCs w:val="21"/>
              </w:rPr>
              <w:t>公示媒介：全国公共资源交易平台（浙江省公共资源交易服务平台）（浙江政务服务网）</w:t>
            </w:r>
            <w:r>
              <w:fldChar w:fldCharType="begin"/>
            </w:r>
            <w:r>
              <w:instrText xml:space="preserve"> HYPERLINK "http://zjpubservice.zjzwfw.gov.cn/" \h </w:instrText>
            </w:r>
            <w:r>
              <w:fldChar w:fldCharType="separate"/>
            </w:r>
            <w:r>
              <w:rPr>
                <w:rFonts w:hint="eastAsia"/>
                <w:sz w:val="21"/>
                <w:szCs w:val="21"/>
              </w:rPr>
              <w:t>http://zjpubservice.zjzwfw.gov.cn</w:t>
            </w:r>
            <w:r>
              <w:rPr>
                <w:rFonts w:hint="eastAsia"/>
                <w:sz w:val="21"/>
                <w:szCs w:val="21"/>
              </w:rPr>
              <w:fldChar w:fldCharType="end"/>
            </w:r>
            <w:r>
              <w:rPr>
                <w:rFonts w:hint="eastAsia"/>
                <w:sz w:val="21"/>
                <w:szCs w:val="21"/>
              </w:rPr>
              <w:t>、</w:t>
            </w:r>
            <w:r>
              <w:rPr>
                <w:rFonts w:hint="eastAsia"/>
                <w:szCs w:val="20"/>
              </w:rPr>
              <w:t>嘉兴市公共资源交易网（海盐）</w:t>
            </w: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w:t>
            </w:r>
          </w:p>
          <w:p>
            <w:pPr>
              <w:pStyle w:val="63"/>
              <w:spacing w:line="360" w:lineRule="auto"/>
              <w:rPr>
                <w:sz w:val="21"/>
                <w:szCs w:val="21"/>
              </w:rPr>
            </w:pPr>
            <w:r>
              <w:rPr>
                <w:rFonts w:hint="eastAsia"/>
                <w:sz w:val="21"/>
                <w:szCs w:val="21"/>
              </w:rPr>
              <w:t>公示期限：3日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004" w:type="dxa"/>
            <w:vAlign w:val="center"/>
          </w:tcPr>
          <w:p>
            <w:pPr>
              <w:pStyle w:val="63"/>
              <w:spacing w:line="360" w:lineRule="auto"/>
              <w:jc w:val="center"/>
              <w:rPr>
                <w:sz w:val="21"/>
                <w:szCs w:val="21"/>
              </w:rPr>
            </w:pPr>
            <w:r>
              <w:rPr>
                <w:rFonts w:hint="eastAsia"/>
                <w:sz w:val="21"/>
                <w:szCs w:val="21"/>
              </w:rPr>
              <w:t>7.3.1</w:t>
            </w:r>
          </w:p>
        </w:tc>
        <w:tc>
          <w:tcPr>
            <w:tcW w:w="1838" w:type="dxa"/>
            <w:vAlign w:val="center"/>
          </w:tcPr>
          <w:p>
            <w:pPr>
              <w:pStyle w:val="63"/>
              <w:spacing w:line="360" w:lineRule="auto"/>
              <w:jc w:val="center"/>
              <w:rPr>
                <w:sz w:val="21"/>
                <w:szCs w:val="21"/>
              </w:rPr>
            </w:pPr>
            <w:r>
              <w:rPr>
                <w:rFonts w:hint="eastAsia"/>
                <w:sz w:val="21"/>
                <w:szCs w:val="21"/>
              </w:rPr>
              <w:t>履约担保</w:t>
            </w:r>
          </w:p>
        </w:tc>
        <w:tc>
          <w:tcPr>
            <w:tcW w:w="7426" w:type="dxa"/>
          </w:tcPr>
          <w:p>
            <w:pPr>
              <w:pStyle w:val="63"/>
              <w:spacing w:line="360" w:lineRule="auto"/>
              <w:rPr>
                <w:sz w:val="21"/>
                <w:szCs w:val="21"/>
              </w:rPr>
            </w:pPr>
            <w:r>
              <w:rPr>
                <w:rFonts w:hint="eastAsia"/>
                <w:sz w:val="21"/>
                <w:szCs w:val="21"/>
              </w:rPr>
              <w:t>履约担保的形式：汇票或支票或网银或工程保函（保险保函、银行电子保函）</w:t>
            </w:r>
          </w:p>
          <w:p>
            <w:pPr>
              <w:pStyle w:val="63"/>
              <w:spacing w:line="360" w:lineRule="auto"/>
              <w:rPr>
                <w:sz w:val="21"/>
                <w:szCs w:val="21"/>
              </w:rPr>
            </w:pPr>
            <w:r>
              <w:rPr>
                <w:rFonts w:hint="eastAsia"/>
                <w:sz w:val="21"/>
                <w:szCs w:val="21"/>
              </w:rPr>
              <w:t>履约担保的金额：合同价款的2%（专款专用）。经招标人专项验收合格后10日内应全额返还。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0268" w:type="dxa"/>
            <w:gridSpan w:val="3"/>
            <w:vAlign w:val="bottom"/>
          </w:tcPr>
          <w:p>
            <w:pPr>
              <w:pStyle w:val="63"/>
              <w:spacing w:line="360" w:lineRule="auto"/>
              <w:ind w:left="108"/>
              <w:jc w:val="center"/>
              <w:rPr>
                <w:spacing w:val="-1"/>
                <w:w w:val="95"/>
                <w:sz w:val="21"/>
                <w:szCs w:val="21"/>
              </w:rPr>
            </w:pPr>
            <w:r>
              <w:rPr>
                <w:rFonts w:hint="eastAsia"/>
                <w:sz w:val="21"/>
                <w:szCs w:val="21"/>
              </w:rPr>
              <w:t>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004" w:type="dxa"/>
            <w:vAlign w:val="center"/>
          </w:tcPr>
          <w:p>
            <w:pPr>
              <w:pStyle w:val="63"/>
              <w:spacing w:line="360" w:lineRule="auto"/>
              <w:jc w:val="center"/>
              <w:rPr>
                <w:sz w:val="21"/>
                <w:szCs w:val="21"/>
              </w:rPr>
            </w:pPr>
            <w:r>
              <w:rPr>
                <w:rFonts w:hint="eastAsia"/>
                <w:sz w:val="21"/>
                <w:szCs w:val="21"/>
              </w:rPr>
              <w:t>10.1</w:t>
            </w:r>
          </w:p>
        </w:tc>
        <w:tc>
          <w:tcPr>
            <w:tcW w:w="1838" w:type="dxa"/>
            <w:vAlign w:val="center"/>
          </w:tcPr>
          <w:p>
            <w:pPr>
              <w:pStyle w:val="63"/>
              <w:spacing w:line="360" w:lineRule="auto"/>
              <w:jc w:val="center"/>
              <w:rPr>
                <w:sz w:val="21"/>
                <w:szCs w:val="21"/>
              </w:rPr>
            </w:pPr>
            <w:r>
              <w:rPr>
                <w:rFonts w:hint="eastAsia"/>
                <w:sz w:val="21"/>
                <w:szCs w:val="21"/>
              </w:rPr>
              <w:t>投标文件是否采用“暗标”评审方式</w:t>
            </w:r>
          </w:p>
        </w:tc>
        <w:tc>
          <w:tcPr>
            <w:tcW w:w="7426" w:type="dxa"/>
          </w:tcPr>
          <w:p>
            <w:pPr>
              <w:pStyle w:val="63"/>
              <w:spacing w:line="360" w:lineRule="auto"/>
              <w:rPr>
                <w:sz w:val="21"/>
                <w:szCs w:val="21"/>
              </w:rPr>
            </w:pPr>
            <w:r>
              <w:rPr>
                <w:rFonts w:hint="eastAsia" w:ascii="MS Gothic" w:hAnsi="MS Gothic" w:eastAsia="MS Gothic" w:cs="MS Gothic"/>
                <w:sz w:val="21"/>
                <w:szCs w:val="21"/>
              </w:rPr>
              <w:t>☑</w:t>
            </w:r>
            <w:r>
              <w:rPr>
                <w:rFonts w:hint="eastAsia"/>
                <w:sz w:val="21"/>
                <w:szCs w:val="21"/>
              </w:rPr>
              <w:t>不采用</w:t>
            </w:r>
          </w:p>
          <w:p>
            <w:pPr>
              <w:pStyle w:val="63"/>
              <w:spacing w:line="360" w:lineRule="auto"/>
              <w:rPr>
                <w:sz w:val="21"/>
                <w:szCs w:val="21"/>
              </w:rPr>
            </w:pPr>
            <w:r>
              <w:rPr>
                <w:rFonts w:hint="eastAsia"/>
                <w:sz w:val="21"/>
                <w:szCs w:val="21"/>
              </w:rPr>
              <w:t>□采用，投标人应严格按照招标文件中的“投标文件格式”的要求编制和装订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jc w:val="center"/>
        </w:trPr>
        <w:tc>
          <w:tcPr>
            <w:tcW w:w="1004" w:type="dxa"/>
            <w:vAlign w:val="center"/>
          </w:tcPr>
          <w:p>
            <w:pPr>
              <w:pStyle w:val="63"/>
              <w:spacing w:line="360" w:lineRule="auto"/>
              <w:jc w:val="center"/>
              <w:rPr>
                <w:sz w:val="21"/>
                <w:szCs w:val="21"/>
              </w:rPr>
            </w:pPr>
            <w:r>
              <w:rPr>
                <w:rFonts w:hint="eastAsia"/>
                <w:sz w:val="21"/>
                <w:szCs w:val="21"/>
              </w:rPr>
              <w:t>10.2</w:t>
            </w:r>
          </w:p>
        </w:tc>
        <w:tc>
          <w:tcPr>
            <w:tcW w:w="1838" w:type="dxa"/>
          </w:tcPr>
          <w:p>
            <w:pPr>
              <w:pStyle w:val="63"/>
              <w:spacing w:line="360" w:lineRule="auto"/>
              <w:jc w:val="center"/>
              <w:rPr>
                <w:sz w:val="21"/>
                <w:szCs w:val="21"/>
              </w:rPr>
            </w:pPr>
            <w:r>
              <w:rPr>
                <w:rFonts w:hint="eastAsia"/>
                <w:sz w:val="21"/>
                <w:szCs w:val="21"/>
              </w:rPr>
              <w:t>是否实行计算机辅助评标</w:t>
            </w:r>
          </w:p>
        </w:tc>
        <w:tc>
          <w:tcPr>
            <w:tcW w:w="7426" w:type="dxa"/>
          </w:tcPr>
          <w:p>
            <w:pPr>
              <w:pStyle w:val="63"/>
              <w:spacing w:line="360" w:lineRule="auto"/>
              <w:rPr>
                <w:sz w:val="21"/>
                <w:szCs w:val="21"/>
              </w:rPr>
            </w:pPr>
            <w:r>
              <w:rPr>
                <w:rFonts w:hint="eastAsia" w:ascii="MS Gothic" w:hAnsi="MS Gothic" w:eastAsia="MS Gothic" w:cs="MS Gothic"/>
                <w:sz w:val="21"/>
                <w:szCs w:val="21"/>
              </w:rPr>
              <w:t>☑</w:t>
            </w:r>
            <w:r>
              <w:rPr>
                <w:rFonts w:hint="eastAsia"/>
                <w:sz w:val="21"/>
                <w:szCs w:val="21"/>
              </w:rPr>
              <w:t>否</w:t>
            </w:r>
          </w:p>
          <w:p>
            <w:pPr>
              <w:pStyle w:val="63"/>
              <w:spacing w:line="360" w:lineRule="auto"/>
              <w:rPr>
                <w:sz w:val="21"/>
                <w:szCs w:val="21"/>
              </w:rPr>
            </w:pPr>
            <w:r>
              <w:rPr>
                <w:rFonts w:hint="eastAsia"/>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004" w:type="dxa"/>
            <w:vAlign w:val="center"/>
          </w:tcPr>
          <w:p>
            <w:pPr>
              <w:pStyle w:val="63"/>
              <w:spacing w:line="360" w:lineRule="auto"/>
              <w:jc w:val="center"/>
              <w:rPr>
                <w:sz w:val="21"/>
                <w:szCs w:val="21"/>
              </w:rPr>
            </w:pPr>
            <w:r>
              <w:rPr>
                <w:rFonts w:hint="eastAsia"/>
                <w:sz w:val="21"/>
                <w:szCs w:val="21"/>
              </w:rPr>
              <w:t>10.3</w:t>
            </w:r>
          </w:p>
        </w:tc>
        <w:tc>
          <w:tcPr>
            <w:tcW w:w="1838" w:type="dxa"/>
            <w:vAlign w:val="center"/>
          </w:tcPr>
          <w:p>
            <w:pPr>
              <w:pStyle w:val="63"/>
              <w:spacing w:line="360" w:lineRule="auto"/>
              <w:jc w:val="center"/>
              <w:rPr>
                <w:sz w:val="21"/>
                <w:szCs w:val="21"/>
              </w:rPr>
            </w:pPr>
            <w:r>
              <w:rPr>
                <w:rFonts w:hint="eastAsia"/>
                <w:sz w:val="21"/>
                <w:szCs w:val="21"/>
              </w:rPr>
              <w:t>同义词语</w:t>
            </w:r>
          </w:p>
        </w:tc>
        <w:tc>
          <w:tcPr>
            <w:tcW w:w="7426" w:type="dxa"/>
          </w:tcPr>
          <w:p>
            <w:pPr>
              <w:pStyle w:val="63"/>
              <w:spacing w:line="360" w:lineRule="auto"/>
              <w:ind w:left="107" w:right="64"/>
              <w:jc w:val="both"/>
              <w:rPr>
                <w:spacing w:val="-1"/>
                <w:sz w:val="21"/>
                <w:szCs w:val="21"/>
              </w:rPr>
            </w:pPr>
            <w:r>
              <w:rPr>
                <w:rFonts w:hint="eastAsia"/>
                <w:sz w:val="21"/>
                <w:szCs w:val="21"/>
              </w:rPr>
              <w:t>构成招标文件组成部分的“通用合同条款”、“专用合同条款”、“技术标准和要求”和“技术规范”等章节中出现的措辞“发包人”和“承包人”，在招标投标阶段应当分别按“招标人”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004" w:type="dxa"/>
            <w:vAlign w:val="center"/>
          </w:tcPr>
          <w:p>
            <w:pPr>
              <w:pStyle w:val="63"/>
              <w:spacing w:line="360" w:lineRule="auto"/>
              <w:jc w:val="center"/>
              <w:rPr>
                <w:sz w:val="21"/>
                <w:szCs w:val="21"/>
              </w:rPr>
            </w:pPr>
            <w:r>
              <w:rPr>
                <w:rFonts w:hint="eastAsia"/>
                <w:sz w:val="21"/>
                <w:szCs w:val="21"/>
              </w:rPr>
              <w:t>10.4</w:t>
            </w:r>
          </w:p>
        </w:tc>
        <w:tc>
          <w:tcPr>
            <w:tcW w:w="1838" w:type="dxa"/>
            <w:vAlign w:val="center"/>
          </w:tcPr>
          <w:p>
            <w:pPr>
              <w:pStyle w:val="63"/>
              <w:spacing w:line="360" w:lineRule="auto"/>
              <w:jc w:val="center"/>
              <w:rPr>
                <w:sz w:val="21"/>
                <w:szCs w:val="21"/>
              </w:rPr>
            </w:pPr>
            <w:r>
              <w:rPr>
                <w:rFonts w:hint="eastAsia"/>
                <w:sz w:val="21"/>
                <w:szCs w:val="21"/>
              </w:rPr>
              <w:t>监督</w:t>
            </w:r>
          </w:p>
        </w:tc>
        <w:tc>
          <w:tcPr>
            <w:tcW w:w="7426" w:type="dxa"/>
          </w:tcPr>
          <w:p>
            <w:pPr>
              <w:pStyle w:val="63"/>
              <w:spacing w:line="360" w:lineRule="auto"/>
              <w:rPr>
                <w:sz w:val="21"/>
                <w:szCs w:val="21"/>
              </w:rPr>
            </w:pPr>
            <w:r>
              <w:rPr>
                <w:rFonts w:hint="eastAsia"/>
                <w:sz w:val="21"/>
                <w:szCs w:val="21"/>
              </w:rPr>
              <w:t>本项目的招标投标活动及其相关当事人应当接受海盐县住建局依法实施的监督。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004" w:type="dxa"/>
            <w:vAlign w:val="center"/>
          </w:tcPr>
          <w:p>
            <w:pPr>
              <w:pStyle w:val="63"/>
              <w:spacing w:line="360" w:lineRule="auto"/>
              <w:jc w:val="center"/>
              <w:rPr>
                <w:sz w:val="21"/>
                <w:szCs w:val="21"/>
              </w:rPr>
            </w:pPr>
            <w:r>
              <w:rPr>
                <w:rFonts w:hint="eastAsia"/>
                <w:sz w:val="21"/>
                <w:szCs w:val="21"/>
              </w:rPr>
              <w:t>10.5</w:t>
            </w:r>
          </w:p>
        </w:tc>
        <w:tc>
          <w:tcPr>
            <w:tcW w:w="1838" w:type="dxa"/>
            <w:vAlign w:val="center"/>
          </w:tcPr>
          <w:p>
            <w:pPr>
              <w:pStyle w:val="63"/>
              <w:spacing w:line="360" w:lineRule="auto"/>
              <w:jc w:val="center"/>
              <w:rPr>
                <w:sz w:val="21"/>
                <w:szCs w:val="21"/>
              </w:rPr>
            </w:pPr>
            <w:r>
              <w:rPr>
                <w:rFonts w:hint="eastAsia"/>
                <w:sz w:val="21"/>
                <w:szCs w:val="21"/>
              </w:rPr>
              <w:t>解释权</w:t>
            </w:r>
          </w:p>
        </w:tc>
        <w:tc>
          <w:tcPr>
            <w:tcW w:w="7426" w:type="dxa"/>
          </w:tcPr>
          <w:p>
            <w:pPr>
              <w:pStyle w:val="63"/>
              <w:spacing w:line="360" w:lineRule="auto"/>
              <w:rPr>
                <w:sz w:val="21"/>
                <w:szCs w:val="21"/>
              </w:rPr>
            </w:pPr>
            <w:r>
              <w:rPr>
                <w:rFonts w:hint="eastAsia"/>
                <w:sz w:val="21"/>
                <w:szCs w:val="21"/>
              </w:rPr>
              <w:t>构成本招标文件的各个组成文件应互为解释，互为说明，具体由招标人负责解释。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7" w:hRule="atLeast"/>
          <w:jc w:val="center"/>
        </w:trPr>
        <w:tc>
          <w:tcPr>
            <w:tcW w:w="1004" w:type="dxa"/>
            <w:vAlign w:val="center"/>
          </w:tcPr>
          <w:p>
            <w:pPr>
              <w:pStyle w:val="63"/>
              <w:spacing w:line="360" w:lineRule="auto"/>
              <w:jc w:val="center"/>
              <w:rPr>
                <w:sz w:val="21"/>
                <w:szCs w:val="21"/>
              </w:rPr>
            </w:pPr>
            <w:r>
              <w:rPr>
                <w:rFonts w:hint="eastAsia"/>
                <w:sz w:val="21"/>
                <w:szCs w:val="21"/>
              </w:rPr>
              <w:t>10.6</w:t>
            </w:r>
          </w:p>
        </w:tc>
        <w:tc>
          <w:tcPr>
            <w:tcW w:w="1838" w:type="dxa"/>
            <w:vAlign w:val="center"/>
          </w:tcPr>
          <w:p>
            <w:pPr>
              <w:pStyle w:val="63"/>
              <w:spacing w:line="360" w:lineRule="auto"/>
              <w:jc w:val="center"/>
              <w:rPr>
                <w:rFonts w:hint="default" w:eastAsia="宋体"/>
                <w:sz w:val="21"/>
                <w:szCs w:val="21"/>
                <w:lang w:val="en-US" w:eastAsia="zh-CN"/>
              </w:rPr>
            </w:pPr>
            <w:r>
              <w:rPr>
                <w:rFonts w:hint="eastAsia"/>
                <w:sz w:val="21"/>
                <w:szCs w:val="21"/>
              </w:rPr>
              <w:t>电子招标投标疑问</w:t>
            </w:r>
            <w:r>
              <w:rPr>
                <w:rFonts w:hint="eastAsia"/>
                <w:sz w:val="21"/>
                <w:szCs w:val="21"/>
                <w:lang w:val="en-US" w:eastAsia="zh-CN"/>
              </w:rPr>
              <w:t>(不适用)</w:t>
            </w:r>
          </w:p>
        </w:tc>
        <w:tc>
          <w:tcPr>
            <w:tcW w:w="7426" w:type="dxa"/>
          </w:tcPr>
          <w:p>
            <w:pPr>
              <w:pStyle w:val="63"/>
              <w:spacing w:line="360" w:lineRule="auto"/>
              <w:rPr>
                <w:sz w:val="21"/>
                <w:szCs w:val="21"/>
              </w:rPr>
            </w:pPr>
            <w:r>
              <w:rPr>
                <w:rFonts w:hint="eastAsia"/>
                <w:sz w:val="21"/>
                <w:szCs w:val="21"/>
              </w:rPr>
              <w:t>1、投标人在制作过程中若遇问题可与CA证书发证单位联系（杭州天谷信息科技有限公司 0571-88234300）或（江苏翔晟信息技术股份有限公司，咨询电话：025-66007915、025-66007916）或与江苏国泰新点软件有限公司联系（系统维护咨询电话：（Tel）0573-82512016,（Mob）15088395509， 联系人：吕小伟）。</w:t>
            </w:r>
          </w:p>
          <w:p>
            <w:pPr>
              <w:pStyle w:val="63"/>
              <w:spacing w:line="360" w:lineRule="auto"/>
              <w:rPr>
                <w:sz w:val="21"/>
                <w:szCs w:val="21"/>
              </w:rPr>
            </w:pPr>
            <w:r>
              <w:rPr>
                <w:rFonts w:hint="eastAsia"/>
                <w:sz w:val="21"/>
                <w:szCs w:val="21"/>
              </w:rPr>
              <w:t>2、相关投标工具请各投标人自行到</w:t>
            </w:r>
            <w:r>
              <w:rPr>
                <w:rFonts w:hint="eastAsia"/>
                <w:szCs w:val="20"/>
              </w:rPr>
              <w:t>嘉兴市公共资源交易网（海盐）</w:t>
            </w:r>
          </w:p>
          <w:p>
            <w:pPr>
              <w:pStyle w:val="63"/>
              <w:spacing w:line="360" w:lineRule="auto"/>
              <w:rPr>
                <w:spacing w:val="-1"/>
                <w:sz w:val="21"/>
                <w:szCs w:val="21"/>
              </w:rPr>
            </w:pP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 xml:space="preserve">http://jxszwsjb.jiaxing.gov.cn/hymain/ </w:t>
            </w:r>
            <w:r>
              <w:rPr>
                <w:rFonts w:hint="eastAsia"/>
                <w:sz w:val="21"/>
                <w:szCs w:val="21"/>
              </w:rPr>
              <w:fldChar w:fldCharType="end"/>
            </w:r>
            <w:r>
              <w:rPr>
                <w:rFonts w:hint="eastAsia"/>
                <w:sz w:val="21"/>
                <w:szCs w:val="21"/>
              </w:rPr>
              <w:t>）上下载。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1004" w:type="dxa"/>
            <w:vAlign w:val="center"/>
          </w:tcPr>
          <w:p>
            <w:pPr>
              <w:pStyle w:val="63"/>
              <w:spacing w:line="360" w:lineRule="auto"/>
              <w:jc w:val="center"/>
              <w:rPr>
                <w:sz w:val="21"/>
                <w:szCs w:val="21"/>
              </w:rPr>
            </w:pPr>
            <w:r>
              <w:rPr>
                <w:rFonts w:hint="eastAsia"/>
                <w:sz w:val="21"/>
                <w:szCs w:val="21"/>
              </w:rPr>
              <w:t>10.7</w:t>
            </w:r>
          </w:p>
        </w:tc>
        <w:tc>
          <w:tcPr>
            <w:tcW w:w="1838" w:type="dxa"/>
            <w:vAlign w:val="center"/>
          </w:tcPr>
          <w:p>
            <w:pPr>
              <w:pStyle w:val="63"/>
              <w:spacing w:line="360" w:lineRule="auto"/>
              <w:jc w:val="center"/>
              <w:rPr>
                <w:sz w:val="21"/>
                <w:szCs w:val="21"/>
              </w:rPr>
            </w:pPr>
            <w:r>
              <w:rPr>
                <w:rFonts w:hint="eastAsia"/>
                <w:sz w:val="21"/>
                <w:szCs w:val="21"/>
              </w:rPr>
              <w:t>是否收取招标文件</w:t>
            </w:r>
          </w:p>
          <w:p>
            <w:pPr>
              <w:pStyle w:val="63"/>
              <w:spacing w:line="360" w:lineRule="auto"/>
              <w:jc w:val="center"/>
              <w:rPr>
                <w:sz w:val="21"/>
                <w:szCs w:val="21"/>
              </w:rPr>
            </w:pPr>
            <w:r>
              <w:rPr>
                <w:rFonts w:hint="eastAsia"/>
                <w:sz w:val="21"/>
                <w:szCs w:val="21"/>
              </w:rPr>
              <w:t>工本费</w:t>
            </w:r>
          </w:p>
        </w:tc>
        <w:tc>
          <w:tcPr>
            <w:tcW w:w="7426" w:type="dxa"/>
            <w:vAlign w:val="center"/>
          </w:tcPr>
          <w:p>
            <w:pPr>
              <w:pStyle w:val="63"/>
              <w:spacing w:line="360" w:lineRule="auto"/>
              <w:ind w:left="107" w:right="64"/>
              <w:jc w:val="both"/>
              <w:rPr>
                <w:spacing w:val="-1"/>
                <w:sz w:val="21"/>
                <w:szCs w:val="21"/>
              </w:rPr>
            </w:pPr>
            <w:r>
              <w:rPr>
                <w:rFonts w:hint="eastAsia"/>
                <w:spacing w:val="-1"/>
                <w:sz w:val="21"/>
                <w:szCs w:val="21"/>
              </w:rPr>
              <w:t>不收取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004" w:type="dxa"/>
            <w:vAlign w:val="center"/>
          </w:tcPr>
          <w:p>
            <w:pPr>
              <w:pStyle w:val="63"/>
              <w:spacing w:line="360" w:lineRule="auto"/>
              <w:jc w:val="center"/>
              <w:rPr>
                <w:sz w:val="21"/>
                <w:szCs w:val="21"/>
              </w:rPr>
            </w:pPr>
            <w:r>
              <w:rPr>
                <w:rFonts w:hint="eastAsia"/>
                <w:sz w:val="21"/>
                <w:szCs w:val="21"/>
              </w:rPr>
              <w:t>10.8</w:t>
            </w:r>
          </w:p>
        </w:tc>
        <w:tc>
          <w:tcPr>
            <w:tcW w:w="1838" w:type="dxa"/>
            <w:vAlign w:val="center"/>
          </w:tcPr>
          <w:p>
            <w:pPr>
              <w:pStyle w:val="63"/>
              <w:spacing w:line="360" w:lineRule="auto"/>
              <w:jc w:val="center"/>
              <w:rPr>
                <w:sz w:val="21"/>
                <w:szCs w:val="21"/>
              </w:rPr>
            </w:pPr>
            <w:r>
              <w:rPr>
                <w:rFonts w:hint="eastAsia"/>
                <w:sz w:val="21"/>
                <w:szCs w:val="21"/>
              </w:rPr>
              <w:t>交易服务费</w:t>
            </w:r>
          </w:p>
        </w:tc>
        <w:tc>
          <w:tcPr>
            <w:tcW w:w="7426" w:type="dxa"/>
            <w:vAlign w:val="center"/>
          </w:tcPr>
          <w:p>
            <w:pPr>
              <w:pStyle w:val="63"/>
              <w:spacing w:line="360" w:lineRule="auto"/>
              <w:rPr>
                <w:sz w:val="21"/>
                <w:szCs w:val="21"/>
              </w:rPr>
            </w:pPr>
            <w:r>
              <w:rPr>
                <w:rFonts w:hint="eastAsia"/>
                <w:sz w:val="21"/>
                <w:szCs w:val="21"/>
              </w:rPr>
              <w:t>中标人需向海盐县公共资源交易中心交纳交易服务费（根据嘉发改物[2018]329号文件计算）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jc w:val="center"/>
        </w:trPr>
        <w:tc>
          <w:tcPr>
            <w:tcW w:w="1004" w:type="dxa"/>
            <w:vMerge w:val="restart"/>
            <w:vAlign w:val="center"/>
          </w:tcPr>
          <w:p>
            <w:pPr>
              <w:pStyle w:val="63"/>
              <w:spacing w:line="360" w:lineRule="auto"/>
              <w:jc w:val="center"/>
              <w:rPr>
                <w:sz w:val="21"/>
                <w:szCs w:val="21"/>
              </w:rPr>
            </w:pPr>
            <w:r>
              <w:rPr>
                <w:rFonts w:hint="eastAsia"/>
                <w:sz w:val="21"/>
                <w:szCs w:val="21"/>
              </w:rPr>
              <w:t>10.9</w:t>
            </w:r>
          </w:p>
        </w:tc>
        <w:tc>
          <w:tcPr>
            <w:tcW w:w="1838" w:type="dxa"/>
            <w:vMerge w:val="restart"/>
            <w:vAlign w:val="center"/>
          </w:tcPr>
          <w:p>
            <w:pPr>
              <w:pStyle w:val="63"/>
              <w:spacing w:line="360" w:lineRule="auto"/>
              <w:jc w:val="center"/>
              <w:rPr>
                <w:sz w:val="21"/>
                <w:szCs w:val="21"/>
              </w:rPr>
            </w:pPr>
            <w:r>
              <w:rPr>
                <w:rFonts w:hint="eastAsia"/>
                <w:sz w:val="21"/>
                <w:szCs w:val="21"/>
              </w:rPr>
              <w:t>其他补充内容</w:t>
            </w:r>
          </w:p>
        </w:tc>
        <w:tc>
          <w:tcPr>
            <w:tcW w:w="7426" w:type="dxa"/>
            <w:vAlign w:val="center"/>
          </w:tcPr>
          <w:p>
            <w:pPr>
              <w:pStyle w:val="63"/>
              <w:spacing w:line="360" w:lineRule="auto"/>
              <w:rPr>
                <w:sz w:val="21"/>
                <w:szCs w:val="21"/>
              </w:rPr>
            </w:pPr>
            <w:r>
              <w:rPr>
                <w:rFonts w:hint="eastAsia"/>
                <w:b/>
                <w:bCs/>
                <w:color w:val="000000" w:themeColor="text1"/>
                <w:spacing w:val="0"/>
                <w:w w:val="100"/>
                <w:sz w:val="21"/>
                <w:szCs w:val="22"/>
                <w:highlight w:val="none"/>
                <w:lang w:val="en-US" w:eastAsia="zh-CN"/>
                <w14:textFill>
                  <w14:solidFill>
                    <w14:schemeClr w14:val="tx1"/>
                  </w14:solidFill>
                </w14:textFill>
              </w:rPr>
              <w:t>中标人需</w:t>
            </w:r>
            <w:r>
              <w:rPr>
                <w:rFonts w:hint="eastAsia"/>
                <w:b/>
                <w:bCs/>
                <w:color w:val="000000" w:themeColor="text1"/>
                <w:spacing w:val="0"/>
                <w:w w:val="100"/>
                <w:sz w:val="21"/>
                <w:szCs w:val="22"/>
                <w:highlight w:val="none"/>
                <w14:textFill>
                  <w14:solidFill>
                    <w14:schemeClr w14:val="tx1"/>
                  </w14:solidFill>
                </w14:textFill>
              </w:rPr>
              <w:t>根据招标文件和投标技术方案进行图纸</w:t>
            </w:r>
            <w:r>
              <w:rPr>
                <w:rFonts w:hint="eastAsia"/>
                <w:b/>
                <w:bCs/>
                <w:color w:val="000000" w:themeColor="text1"/>
                <w:spacing w:val="0"/>
                <w:w w:val="100"/>
                <w:sz w:val="21"/>
                <w:szCs w:val="22"/>
                <w:highlight w:val="none"/>
                <w:lang w:val="en-US" w:eastAsia="zh-CN"/>
                <w14:textFill>
                  <w14:solidFill>
                    <w14:schemeClr w14:val="tx1"/>
                  </w14:solidFill>
                </w14:textFill>
              </w:rPr>
              <w:t>优</w:t>
            </w:r>
            <w:r>
              <w:rPr>
                <w:rFonts w:hint="eastAsia"/>
                <w:b/>
                <w:bCs/>
                <w:color w:val="000000" w:themeColor="text1"/>
                <w:spacing w:val="0"/>
                <w:w w:val="100"/>
                <w:sz w:val="21"/>
                <w:szCs w:val="22"/>
                <w:highlight w:val="none"/>
                <w14:textFill>
                  <w14:solidFill>
                    <w14:schemeClr w14:val="tx1"/>
                  </w14:solidFill>
                </w14:textFill>
              </w:rPr>
              <w:t>化，</w:t>
            </w:r>
            <w:r>
              <w:rPr>
                <w:rFonts w:hint="eastAsia"/>
                <w:b/>
                <w:bCs/>
                <w:color w:val="000000" w:themeColor="text1"/>
                <w:spacing w:val="0"/>
                <w:w w:val="100"/>
                <w:sz w:val="21"/>
                <w:szCs w:val="22"/>
                <w:highlight w:val="none"/>
                <w:lang w:val="en-US" w:eastAsia="zh-CN"/>
                <w14:textFill>
                  <w14:solidFill>
                    <w14:schemeClr w14:val="tx1"/>
                  </w14:solidFill>
                </w14:textFill>
              </w:rPr>
              <w:t>优</w:t>
            </w:r>
            <w:r>
              <w:rPr>
                <w:rFonts w:hint="eastAsia"/>
                <w:b/>
                <w:bCs/>
                <w:color w:val="000000" w:themeColor="text1"/>
                <w:spacing w:val="0"/>
                <w:w w:val="100"/>
                <w:sz w:val="21"/>
                <w:szCs w:val="22"/>
                <w:highlight w:val="none"/>
                <w14:textFill>
                  <w14:solidFill>
                    <w14:schemeClr w14:val="tx1"/>
                  </w14:solidFill>
                </w14:textFill>
              </w:rPr>
              <w:t>化设计图纸须经主体设计单位及监理、甲方、使用方书面审批通过后实施</w:t>
            </w:r>
            <w:r>
              <w:rPr>
                <w:rFonts w:hint="eastAsia"/>
                <w:b/>
                <w:bCs/>
                <w:color w:val="000000" w:themeColor="text1"/>
                <w:spacing w:val="0"/>
                <w:w w:val="100"/>
                <w:sz w:val="21"/>
                <w:szCs w:val="22"/>
                <w:highlight w:val="none"/>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1004" w:type="dxa"/>
            <w:vMerge w:val="continue"/>
            <w:vAlign w:val="center"/>
          </w:tcPr>
          <w:p>
            <w:pPr>
              <w:pStyle w:val="63"/>
              <w:spacing w:line="360" w:lineRule="auto"/>
              <w:jc w:val="center"/>
              <w:rPr>
                <w:rFonts w:hint="eastAsia"/>
                <w:sz w:val="21"/>
                <w:szCs w:val="21"/>
              </w:rPr>
            </w:pPr>
            <w:bookmarkStart w:id="12" w:name="_Toc4525"/>
          </w:p>
        </w:tc>
        <w:tc>
          <w:tcPr>
            <w:tcW w:w="1838" w:type="dxa"/>
            <w:vMerge w:val="continue"/>
            <w:vAlign w:val="center"/>
          </w:tcPr>
          <w:p>
            <w:pPr>
              <w:pStyle w:val="63"/>
              <w:spacing w:line="360" w:lineRule="auto"/>
              <w:jc w:val="center"/>
              <w:rPr>
                <w:rFonts w:hint="eastAsia"/>
                <w:sz w:val="21"/>
                <w:szCs w:val="21"/>
              </w:rPr>
            </w:pPr>
          </w:p>
        </w:tc>
        <w:tc>
          <w:tcPr>
            <w:tcW w:w="7426" w:type="dxa"/>
            <w:vAlign w:val="center"/>
          </w:tcPr>
          <w:p>
            <w:pPr>
              <w:pStyle w:val="63"/>
              <w:spacing w:line="360" w:lineRule="auto"/>
              <w:rPr>
                <w:rFonts w:hint="eastAsia"/>
                <w:sz w:val="21"/>
                <w:szCs w:val="21"/>
              </w:rPr>
            </w:pPr>
            <w:r>
              <w:rPr>
                <w:rFonts w:hint="eastAsia"/>
                <w:b/>
                <w:bCs/>
                <w:color w:val="000000" w:themeColor="text1"/>
                <w:spacing w:val="0"/>
                <w:w w:val="100"/>
                <w:sz w:val="21"/>
                <w:szCs w:val="22"/>
                <w:highlight w:val="none"/>
                <w14:textFill>
                  <w14:solidFill>
                    <w14:schemeClr w14:val="tx1"/>
                  </w14:solidFill>
                </w14:textFill>
              </w:rPr>
              <w:t>网上投标报名的内容视为本招标文件实质性内容要约响应的一部分，未进行网上报名，其投标文件将被拒收。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 w:hRule="atLeast"/>
          <w:jc w:val="center"/>
        </w:trPr>
        <w:tc>
          <w:tcPr>
            <w:tcW w:w="1004" w:type="dxa"/>
            <w:vMerge w:val="continue"/>
            <w:vAlign w:val="center"/>
          </w:tcPr>
          <w:p>
            <w:pPr>
              <w:pStyle w:val="63"/>
              <w:spacing w:line="360" w:lineRule="auto"/>
              <w:jc w:val="center"/>
              <w:rPr>
                <w:rFonts w:hint="eastAsia"/>
                <w:sz w:val="21"/>
                <w:szCs w:val="21"/>
                <w:highlight w:val="none"/>
              </w:rPr>
            </w:pPr>
          </w:p>
        </w:tc>
        <w:tc>
          <w:tcPr>
            <w:tcW w:w="1838" w:type="dxa"/>
            <w:vMerge w:val="continue"/>
            <w:vAlign w:val="center"/>
          </w:tcPr>
          <w:p>
            <w:pPr>
              <w:pStyle w:val="63"/>
              <w:spacing w:line="360" w:lineRule="auto"/>
              <w:jc w:val="center"/>
              <w:rPr>
                <w:rFonts w:hint="eastAsia"/>
                <w:sz w:val="21"/>
                <w:szCs w:val="21"/>
                <w:highlight w:val="none"/>
              </w:rPr>
            </w:pPr>
          </w:p>
        </w:tc>
        <w:tc>
          <w:tcPr>
            <w:tcW w:w="7426" w:type="dxa"/>
            <w:vAlign w:val="center"/>
          </w:tcPr>
          <w:p>
            <w:pPr>
              <w:wordWrap w:val="0"/>
              <w:spacing w:line="360" w:lineRule="auto"/>
              <w:rPr>
                <w:sz w:val="21"/>
                <w:szCs w:val="21"/>
                <w:highlight w:val="none"/>
              </w:rPr>
            </w:pPr>
            <w:r>
              <w:rPr>
                <w:rFonts w:hint="eastAsia"/>
                <w:sz w:val="21"/>
                <w:szCs w:val="21"/>
                <w:highlight w:val="none"/>
              </w:rPr>
              <w:t>1.本项目需要提供</w:t>
            </w:r>
            <w:r>
              <w:rPr>
                <w:rFonts w:hint="eastAsia"/>
                <w:sz w:val="21"/>
                <w:szCs w:val="21"/>
                <w:highlight w:val="none"/>
                <w:lang w:val="en-US" w:eastAsia="zh-CN"/>
              </w:rPr>
              <w:t>实物</w:t>
            </w:r>
            <w:r>
              <w:rPr>
                <w:rFonts w:hint="eastAsia"/>
                <w:sz w:val="21"/>
                <w:szCs w:val="21"/>
                <w:highlight w:val="none"/>
              </w:rPr>
              <w:t>样品</w:t>
            </w:r>
            <w:r>
              <w:rPr>
                <w:rFonts w:hint="eastAsia"/>
                <w:sz w:val="21"/>
                <w:szCs w:val="21"/>
                <w:highlight w:val="none"/>
                <w:lang w:val="en-US" w:eastAsia="zh-CN"/>
              </w:rPr>
              <w:t>1件和视频展示样品1件</w:t>
            </w:r>
            <w:r>
              <w:rPr>
                <w:rFonts w:hint="eastAsia"/>
                <w:sz w:val="21"/>
                <w:szCs w:val="21"/>
                <w:highlight w:val="none"/>
              </w:rPr>
              <w:t>，</w:t>
            </w:r>
            <w:r>
              <w:rPr>
                <w:rFonts w:hint="eastAsia"/>
                <w:b/>
                <w:bCs/>
                <w:sz w:val="21"/>
                <w:szCs w:val="21"/>
                <w:highlight w:val="none"/>
              </w:rPr>
              <w:t>样品的名称和样式详见第三</w:t>
            </w:r>
            <w:r>
              <w:rPr>
                <w:rFonts w:hint="eastAsia"/>
                <w:b/>
                <w:bCs/>
                <w:sz w:val="21"/>
                <w:szCs w:val="21"/>
                <w:highlight w:val="none"/>
                <w:lang w:val="en-US" w:eastAsia="zh-CN"/>
              </w:rPr>
              <w:t>章</w:t>
            </w:r>
            <w:r>
              <w:rPr>
                <w:rFonts w:hint="eastAsia"/>
                <w:b/>
                <w:bCs/>
                <w:sz w:val="21"/>
                <w:szCs w:val="21"/>
                <w:highlight w:val="none"/>
              </w:rPr>
              <w:t>评标办法及评分标准</w:t>
            </w:r>
            <w:r>
              <w:rPr>
                <w:rFonts w:hint="eastAsia"/>
                <w:sz w:val="21"/>
                <w:szCs w:val="21"/>
                <w:highlight w:val="none"/>
              </w:rPr>
              <w:t>。</w:t>
            </w:r>
          </w:p>
          <w:p>
            <w:pPr>
              <w:wordWrap w:val="0"/>
              <w:spacing w:line="360" w:lineRule="auto"/>
              <w:rPr>
                <w:sz w:val="21"/>
                <w:szCs w:val="21"/>
                <w:highlight w:val="none"/>
              </w:rPr>
            </w:pPr>
            <w:r>
              <w:rPr>
                <w:rFonts w:hint="eastAsia"/>
                <w:sz w:val="21"/>
                <w:szCs w:val="21"/>
                <w:highlight w:val="none"/>
              </w:rPr>
              <w:t>2.</w:t>
            </w:r>
            <w:r>
              <w:rPr>
                <w:rFonts w:hint="eastAsia"/>
                <w:sz w:val="21"/>
                <w:szCs w:val="21"/>
                <w:highlight w:val="none"/>
                <w:lang w:val="en-US" w:eastAsia="zh-CN"/>
              </w:rPr>
              <w:t>实物</w:t>
            </w:r>
            <w:r>
              <w:rPr>
                <w:rFonts w:hint="eastAsia"/>
                <w:sz w:val="21"/>
                <w:szCs w:val="21"/>
                <w:highlight w:val="none"/>
              </w:rPr>
              <w:t>样品</w:t>
            </w:r>
          </w:p>
          <w:p>
            <w:pPr>
              <w:wordWrap w:val="0"/>
              <w:spacing w:line="360" w:lineRule="auto"/>
              <w:rPr>
                <w:b/>
                <w:bCs/>
                <w:sz w:val="21"/>
                <w:szCs w:val="21"/>
                <w:highlight w:val="none"/>
              </w:rPr>
            </w:pPr>
            <w:r>
              <w:rPr>
                <w:rFonts w:hint="eastAsia"/>
                <w:sz w:val="21"/>
                <w:szCs w:val="21"/>
                <w:highlight w:val="none"/>
              </w:rPr>
              <w:t>（1）样品提交时间：</w:t>
            </w:r>
            <w:r>
              <w:rPr>
                <w:rFonts w:hint="eastAsia"/>
                <w:b/>
                <w:bCs/>
                <w:sz w:val="21"/>
                <w:szCs w:val="21"/>
                <w:highlight w:val="none"/>
              </w:rPr>
              <w:t>投标截止时间前一天16:00之前；</w:t>
            </w:r>
          </w:p>
          <w:p>
            <w:pPr>
              <w:wordWrap w:val="0"/>
              <w:spacing w:line="360" w:lineRule="auto"/>
              <w:rPr>
                <w:rFonts w:hint="default" w:ascii="宋体" w:hAnsi="宋体" w:eastAsia="宋体" w:cs="宋体"/>
                <w:b/>
                <w:bCs/>
                <w:sz w:val="21"/>
                <w:szCs w:val="21"/>
                <w:highlight w:val="none"/>
                <w:lang w:val="en-US" w:eastAsia="zh-CN"/>
              </w:rPr>
            </w:pPr>
            <w:r>
              <w:rPr>
                <w:rFonts w:hint="eastAsia"/>
                <w:sz w:val="21"/>
                <w:szCs w:val="21"/>
                <w:highlight w:val="none"/>
              </w:rPr>
              <w:t>（2）样品提交地点：</w:t>
            </w:r>
            <w:r>
              <w:rPr>
                <w:rFonts w:hint="eastAsia" w:ascii="宋体" w:hAnsi="宋体" w:eastAsia="宋体" w:cs="宋体"/>
                <w:b/>
                <w:bCs/>
                <w:sz w:val="21"/>
                <w:szCs w:val="21"/>
                <w:highlight w:val="none"/>
              </w:rPr>
              <w:t>海盐县公共资源交易中心</w:t>
            </w:r>
            <w:r>
              <w:rPr>
                <w:rFonts w:hint="eastAsia" w:ascii="宋体" w:hAnsi="宋体" w:eastAsia="宋体" w:cs="宋体"/>
                <w:b/>
                <w:bCs/>
                <w:sz w:val="21"/>
                <w:szCs w:val="21"/>
                <w:highlight w:val="none"/>
                <w:lang w:val="en-US" w:eastAsia="zh-CN"/>
              </w:rPr>
              <w:t>3楼样品室（海盐县海政路333号）</w:t>
            </w:r>
          </w:p>
          <w:p>
            <w:pPr>
              <w:wordWrap w:val="0"/>
              <w:spacing w:line="360" w:lineRule="auto"/>
              <w:rPr>
                <w:rFonts w:hint="default" w:eastAsiaTheme="minorEastAsia"/>
                <w:b/>
                <w:bCs/>
                <w:sz w:val="21"/>
                <w:szCs w:val="21"/>
                <w:highlight w:val="none"/>
                <w:lang w:val="en-US" w:eastAsia="zh-CN"/>
              </w:rPr>
            </w:pPr>
            <w:r>
              <w:rPr>
                <w:rFonts w:hint="eastAsia"/>
                <w:sz w:val="21"/>
                <w:szCs w:val="21"/>
                <w:highlight w:val="none"/>
              </w:rPr>
              <w:t>（3）项目现场登记人：</w:t>
            </w:r>
            <w:r>
              <w:rPr>
                <w:rFonts w:hint="eastAsia" w:ascii="宋体" w:hAnsi="宋体" w:eastAsia="宋体" w:cs="宋体"/>
                <w:b/>
                <w:bCs/>
                <w:sz w:val="21"/>
                <w:szCs w:val="21"/>
                <w:highlight w:val="none"/>
                <w:lang w:val="en-US" w:eastAsia="zh-CN"/>
              </w:rPr>
              <w:t>周工</w:t>
            </w:r>
            <w:r>
              <w:rPr>
                <w:rFonts w:hint="eastAsia"/>
                <w:b/>
                <w:bCs/>
                <w:sz w:val="21"/>
                <w:szCs w:val="21"/>
                <w:highlight w:val="none"/>
              </w:rPr>
              <w:t>，联系电话：</w:t>
            </w:r>
            <w:r>
              <w:rPr>
                <w:rFonts w:hint="eastAsia" w:ascii="宋体" w:hAnsi="宋体" w:eastAsia="宋体" w:cs="宋体"/>
                <w:b/>
                <w:bCs/>
                <w:sz w:val="21"/>
                <w:szCs w:val="21"/>
                <w:highlight w:val="none"/>
                <w:lang w:val="en-US" w:eastAsia="zh-CN"/>
              </w:rPr>
              <w:t>13666637236</w:t>
            </w:r>
          </w:p>
          <w:p>
            <w:pPr>
              <w:wordWrap w:val="0"/>
              <w:spacing w:line="360" w:lineRule="auto"/>
              <w:rPr>
                <w:sz w:val="21"/>
                <w:szCs w:val="21"/>
                <w:highlight w:val="none"/>
              </w:rPr>
            </w:pPr>
            <w:r>
              <w:rPr>
                <w:rFonts w:hint="eastAsia"/>
                <w:sz w:val="21"/>
                <w:szCs w:val="21"/>
                <w:highlight w:val="none"/>
              </w:rPr>
              <w:t>（4）</w:t>
            </w:r>
            <w:r>
              <w:rPr>
                <w:rFonts w:hint="eastAsia"/>
                <w:sz w:val="21"/>
                <w:szCs w:val="21"/>
                <w:highlight w:val="none"/>
                <w:lang w:val="en-US" w:eastAsia="zh-CN"/>
              </w:rPr>
              <w:t>实物</w:t>
            </w:r>
            <w:r>
              <w:rPr>
                <w:rFonts w:hint="eastAsia"/>
                <w:sz w:val="21"/>
                <w:szCs w:val="21"/>
                <w:highlight w:val="none"/>
              </w:rPr>
              <w:t>样品提交要求：</w:t>
            </w:r>
            <w:r>
              <w:rPr>
                <w:rFonts w:hint="eastAsia"/>
                <w:b/>
                <w:bCs/>
                <w:sz w:val="21"/>
                <w:szCs w:val="21"/>
                <w:highlight w:val="none"/>
              </w:rPr>
              <w:t>样品外表</w:t>
            </w:r>
            <w:r>
              <w:rPr>
                <w:rFonts w:hint="eastAsia"/>
                <w:b/>
                <w:bCs/>
                <w:sz w:val="21"/>
                <w:szCs w:val="21"/>
                <w:highlight w:val="none"/>
                <w:lang w:val="en-US" w:eastAsia="zh-CN"/>
              </w:rPr>
              <w:t>上</w:t>
            </w:r>
            <w:r>
              <w:rPr>
                <w:rFonts w:hint="eastAsia"/>
                <w:b/>
                <w:bCs/>
                <w:sz w:val="21"/>
                <w:szCs w:val="21"/>
                <w:highlight w:val="none"/>
              </w:rPr>
              <w:t>张贴投标人标签以分辨样品归属，样品密封送达并标注“样品”字样，且外包装不出现投标人有关信息。样品可采用自行送达或快递送达。采用自行送达的，投标人原则上仅限派1名授权代表到场递交</w:t>
            </w:r>
            <w:r>
              <w:rPr>
                <w:rFonts w:hint="eastAsia"/>
                <w:b/>
                <w:bCs/>
                <w:sz w:val="21"/>
                <w:szCs w:val="21"/>
                <w:highlight w:val="none"/>
                <w:lang w:val="en-US" w:eastAsia="zh-CN"/>
              </w:rPr>
              <w:t>实物</w:t>
            </w:r>
            <w:r>
              <w:rPr>
                <w:rFonts w:hint="eastAsia"/>
                <w:b/>
                <w:bCs/>
                <w:sz w:val="21"/>
                <w:szCs w:val="21"/>
                <w:highlight w:val="none"/>
              </w:rPr>
              <w:t>样品，并办理样品送达登记手续，递交完毕后立即离场；采用快递送达的，</w:t>
            </w:r>
            <w:r>
              <w:rPr>
                <w:rFonts w:hint="eastAsia"/>
                <w:b/>
                <w:bCs/>
                <w:sz w:val="21"/>
                <w:szCs w:val="21"/>
                <w:highlight w:val="none"/>
                <w:lang w:val="en-US" w:eastAsia="zh-CN"/>
              </w:rPr>
              <w:t>以快递</w:t>
            </w:r>
            <w:r>
              <w:rPr>
                <w:rFonts w:hint="eastAsia"/>
                <w:b/>
                <w:bCs/>
                <w:sz w:val="21"/>
                <w:szCs w:val="21"/>
                <w:highlight w:val="none"/>
              </w:rPr>
              <w:t>送达</w:t>
            </w:r>
            <w:r>
              <w:rPr>
                <w:rFonts w:hint="eastAsia"/>
                <w:b/>
                <w:bCs/>
                <w:sz w:val="21"/>
                <w:szCs w:val="21"/>
                <w:highlight w:val="none"/>
                <w:lang w:val="en-US" w:eastAsia="zh-CN"/>
              </w:rPr>
              <w:t>现场</w:t>
            </w:r>
            <w:r>
              <w:rPr>
                <w:rFonts w:hint="eastAsia"/>
                <w:b/>
                <w:bCs/>
                <w:sz w:val="21"/>
                <w:szCs w:val="21"/>
                <w:highlight w:val="none"/>
              </w:rPr>
              <w:t>时间为准</w:t>
            </w:r>
            <w:r>
              <w:rPr>
                <w:rFonts w:hint="eastAsia"/>
                <w:b/>
                <w:bCs/>
                <w:sz w:val="21"/>
                <w:szCs w:val="21"/>
                <w:highlight w:val="none"/>
                <w:lang w:eastAsia="zh-CN"/>
              </w:rPr>
              <w:t>（</w:t>
            </w:r>
            <w:r>
              <w:rPr>
                <w:rFonts w:hint="eastAsia"/>
                <w:b/>
                <w:bCs/>
                <w:sz w:val="21"/>
                <w:szCs w:val="21"/>
                <w:highlight w:val="none"/>
                <w:lang w:val="en-US" w:eastAsia="zh-CN"/>
              </w:rPr>
              <w:t>投标人与快递公司做好送达对接工作</w:t>
            </w:r>
            <w:r>
              <w:rPr>
                <w:rFonts w:hint="eastAsia"/>
                <w:b/>
                <w:bCs/>
                <w:sz w:val="21"/>
                <w:szCs w:val="21"/>
                <w:highlight w:val="none"/>
                <w:lang w:eastAsia="zh-CN"/>
              </w:rPr>
              <w:t>）</w:t>
            </w:r>
            <w:r>
              <w:rPr>
                <w:rFonts w:hint="eastAsia"/>
                <w:b/>
                <w:bCs/>
                <w:sz w:val="21"/>
                <w:szCs w:val="21"/>
                <w:highlight w:val="none"/>
              </w:rPr>
              <w:t>。拒绝接收逾期送达的样品。</w:t>
            </w:r>
          </w:p>
          <w:p>
            <w:pPr>
              <w:pStyle w:val="63"/>
              <w:spacing w:line="360" w:lineRule="auto"/>
              <w:ind w:left="108" w:right="-15"/>
              <w:rPr>
                <w:rFonts w:hint="eastAsia"/>
                <w:b/>
                <w:bCs/>
                <w:sz w:val="21"/>
                <w:szCs w:val="21"/>
                <w:highlight w:val="none"/>
              </w:rPr>
            </w:pPr>
            <w:r>
              <w:rPr>
                <w:rFonts w:hint="eastAsia"/>
                <w:sz w:val="21"/>
                <w:szCs w:val="21"/>
                <w:highlight w:val="none"/>
                <w:lang w:eastAsia="zh-CN"/>
              </w:rPr>
              <w:t>（</w:t>
            </w:r>
            <w:r>
              <w:rPr>
                <w:rFonts w:hint="eastAsia"/>
                <w:sz w:val="21"/>
                <w:szCs w:val="21"/>
                <w:highlight w:val="none"/>
                <w:lang w:val="en-US" w:eastAsia="zh-CN"/>
              </w:rPr>
              <w:t>5</w:t>
            </w:r>
            <w:r>
              <w:rPr>
                <w:rFonts w:hint="eastAsia"/>
                <w:sz w:val="21"/>
                <w:szCs w:val="21"/>
                <w:highlight w:val="none"/>
                <w:lang w:eastAsia="zh-CN"/>
              </w:rPr>
              <w:t>）</w:t>
            </w:r>
            <w:r>
              <w:rPr>
                <w:rFonts w:hint="eastAsia"/>
                <w:sz w:val="21"/>
                <w:szCs w:val="21"/>
                <w:highlight w:val="none"/>
              </w:rPr>
              <w:t>样品的退还：</w:t>
            </w:r>
            <w:r>
              <w:rPr>
                <w:rFonts w:hint="eastAsia"/>
                <w:b/>
                <w:bCs/>
                <w:sz w:val="21"/>
                <w:szCs w:val="21"/>
                <w:highlight w:val="none"/>
              </w:rPr>
              <w:t>中标单位的“样品”将由采购人予以保存作为项目验收的重要依据。未中标的样品在中标公示发布后2个工作日内由投标人自行到样品提交地点取回，逾期未取回的，采购代理机构将不承担损坏、遗失等保管责任。</w:t>
            </w:r>
          </w:p>
          <w:p>
            <w:pPr>
              <w:pStyle w:val="63"/>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注：样品在评审中仅作为评分项，不提交的仅不得分，不影响投标的有效性。</w:t>
            </w:r>
          </w:p>
          <w:p>
            <w:pPr>
              <w:pStyle w:val="63"/>
              <w:numPr>
                <w:ilvl w:val="0"/>
                <w:numId w:val="4"/>
              </w:numPr>
              <w:spacing w:line="360" w:lineRule="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视频样品</w:t>
            </w:r>
          </w:p>
          <w:p>
            <w:pPr>
              <w:pStyle w:val="63"/>
              <w:spacing w:line="360" w:lineRule="auto"/>
              <w:ind w:left="108" w:right="-15"/>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rPr>
              <w:t>投标人自行录制、编辑</w:t>
            </w:r>
            <w:r>
              <w:rPr>
                <w:rFonts w:hint="eastAsia" w:ascii="宋体" w:hAnsi="宋体" w:eastAsia="宋体" w:cs="宋体"/>
                <w:b/>
                <w:bCs/>
                <w:sz w:val="21"/>
                <w:szCs w:val="21"/>
                <w:highlight w:val="none"/>
                <w:lang w:val="en-US" w:eastAsia="zh-CN"/>
              </w:rPr>
              <w:t>样品展示</w:t>
            </w:r>
            <w:r>
              <w:rPr>
                <w:rFonts w:hint="eastAsia" w:ascii="宋体" w:hAnsi="宋体" w:eastAsia="宋体" w:cs="宋体"/>
                <w:b/>
                <w:bCs/>
                <w:sz w:val="21"/>
                <w:szCs w:val="21"/>
                <w:highlight w:val="none"/>
              </w:rPr>
              <w:t>视频，视频时长</w:t>
            </w:r>
            <w:r>
              <w:rPr>
                <w:rFonts w:hint="eastAsia" w:ascii="宋体" w:hAnsi="宋体" w:eastAsia="宋体" w:cs="宋体"/>
                <w:b/>
                <w:bCs/>
                <w:sz w:val="21"/>
                <w:szCs w:val="21"/>
                <w:highlight w:val="none"/>
                <w:lang w:val="en-US" w:eastAsia="zh-CN"/>
              </w:rPr>
              <w:t>应</w:t>
            </w:r>
            <w:r>
              <w:rPr>
                <w:rFonts w:hint="eastAsia" w:ascii="宋体" w:hAnsi="宋体" w:eastAsia="宋体" w:cs="宋体"/>
                <w:b/>
                <w:bCs/>
                <w:sz w:val="21"/>
                <w:szCs w:val="21"/>
                <w:highlight w:val="none"/>
              </w:rPr>
              <w:t>不超过15分钟。视频格式规定为rmvb格式或mp4格式，以其他格式录制并提交</w:t>
            </w:r>
            <w:r>
              <w:rPr>
                <w:rFonts w:hint="eastAsia" w:ascii="宋体" w:hAnsi="宋体" w:eastAsia="宋体" w:cs="宋体"/>
                <w:b/>
                <w:bCs/>
                <w:sz w:val="21"/>
                <w:szCs w:val="21"/>
                <w:highlight w:val="none"/>
                <w:lang w:val="en-US" w:eastAsia="zh-CN"/>
              </w:rPr>
              <w:t>样品</w:t>
            </w:r>
            <w:r>
              <w:rPr>
                <w:rFonts w:hint="eastAsia" w:ascii="宋体" w:hAnsi="宋体" w:eastAsia="宋体" w:cs="宋体"/>
                <w:b/>
                <w:bCs/>
                <w:sz w:val="21"/>
                <w:szCs w:val="21"/>
                <w:highlight w:val="none"/>
              </w:rPr>
              <w:t>视频的，投标人须自行承担视频无法播放的一切后果；</w:t>
            </w:r>
          </w:p>
          <w:p>
            <w:pPr>
              <w:pStyle w:val="63"/>
              <w:spacing w:line="360" w:lineRule="auto"/>
              <w:ind w:left="108" w:right="-15"/>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（2）</w:t>
            </w:r>
            <w:r>
              <w:rPr>
                <w:rFonts w:hint="eastAsia" w:ascii="宋体" w:hAnsi="宋体" w:eastAsia="宋体" w:cs="宋体"/>
                <w:b/>
                <w:bCs/>
                <w:sz w:val="21"/>
                <w:szCs w:val="21"/>
                <w:highlight w:val="none"/>
              </w:rPr>
              <w:t>视频</w:t>
            </w:r>
            <w:r>
              <w:rPr>
                <w:rFonts w:hint="eastAsia" w:ascii="宋体" w:hAnsi="宋体" w:eastAsia="宋体" w:cs="宋体"/>
                <w:b/>
                <w:bCs/>
                <w:sz w:val="21"/>
                <w:szCs w:val="21"/>
                <w:highlight w:val="none"/>
                <w:lang w:val="en-US" w:eastAsia="zh-CN"/>
              </w:rPr>
              <w:t>统一</w:t>
            </w:r>
            <w:r>
              <w:rPr>
                <w:rFonts w:hint="eastAsia" w:ascii="宋体" w:hAnsi="宋体" w:eastAsia="宋体" w:cs="宋体"/>
                <w:b/>
                <w:bCs/>
                <w:sz w:val="21"/>
                <w:szCs w:val="21"/>
                <w:highlight w:val="none"/>
              </w:rPr>
              <w:t>使用U盘储存</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可与投标文件电子版统一</w:t>
            </w:r>
            <w:r>
              <w:rPr>
                <w:rFonts w:hint="eastAsia" w:cs="宋体"/>
                <w:b/>
                <w:bCs/>
                <w:sz w:val="21"/>
                <w:szCs w:val="21"/>
                <w:highlight w:val="none"/>
                <w:lang w:val="en-US" w:eastAsia="zh-CN"/>
              </w:rPr>
              <w:t>拷入</w:t>
            </w:r>
            <w:r>
              <w:rPr>
                <w:rFonts w:hint="eastAsia" w:ascii="宋体" w:hAnsi="宋体" w:eastAsia="宋体" w:cs="宋体"/>
                <w:b/>
                <w:bCs/>
                <w:sz w:val="21"/>
                <w:szCs w:val="21"/>
                <w:highlight w:val="none"/>
                <w:lang w:val="en-US" w:eastAsia="zh-CN"/>
              </w:rPr>
              <w:t>1个U盘存储</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，并</w:t>
            </w:r>
            <w:r>
              <w:rPr>
                <w:rFonts w:hint="eastAsia" w:ascii="宋体" w:hAnsi="宋体" w:eastAsia="宋体" w:cs="宋体"/>
                <w:b/>
                <w:bCs/>
                <w:sz w:val="21"/>
                <w:szCs w:val="21"/>
                <w:highlight w:val="none"/>
                <w:lang w:val="en-US" w:eastAsia="zh-CN"/>
              </w:rPr>
              <w:t>与纸质投标文件统一</w:t>
            </w:r>
            <w:r>
              <w:rPr>
                <w:rFonts w:hint="eastAsia" w:ascii="宋体" w:hAnsi="宋体" w:eastAsia="宋体" w:cs="宋体"/>
                <w:b/>
                <w:bCs/>
                <w:sz w:val="21"/>
                <w:szCs w:val="21"/>
                <w:highlight w:val="none"/>
              </w:rPr>
              <w:t>密封</w:t>
            </w:r>
            <w:r>
              <w:rPr>
                <w:rFonts w:hint="eastAsia" w:ascii="宋体" w:hAnsi="宋体" w:eastAsia="宋体" w:cs="宋体"/>
                <w:b/>
                <w:bCs/>
                <w:sz w:val="21"/>
                <w:szCs w:val="21"/>
                <w:highlight w:val="none"/>
                <w:lang w:val="en-US" w:eastAsia="zh-CN"/>
              </w:rPr>
              <w:t>提交</w:t>
            </w:r>
            <w:r>
              <w:rPr>
                <w:rFonts w:hint="eastAsia" w:ascii="宋体" w:hAnsi="宋体" w:eastAsia="宋体" w:cs="宋体"/>
                <w:b/>
                <w:bCs/>
                <w:sz w:val="21"/>
                <w:szCs w:val="21"/>
                <w:highlight w:val="none"/>
              </w:rPr>
              <w:t>；</w:t>
            </w:r>
          </w:p>
          <w:p>
            <w:pPr>
              <w:pStyle w:val="63"/>
              <w:spacing w:line="360" w:lineRule="auto"/>
              <w:ind w:left="108" w:right="-15"/>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投标人须保证U盘储存空间清洁无毒，除</w:t>
            </w:r>
            <w:r>
              <w:rPr>
                <w:rFonts w:hint="eastAsia" w:ascii="宋体" w:hAnsi="宋体" w:eastAsia="宋体" w:cs="宋体"/>
                <w:b/>
                <w:bCs/>
                <w:sz w:val="21"/>
                <w:szCs w:val="21"/>
                <w:highlight w:val="none"/>
                <w:lang w:val="en-US" w:eastAsia="zh-CN"/>
              </w:rPr>
              <w:t>样品</w:t>
            </w:r>
            <w:r>
              <w:rPr>
                <w:rFonts w:hint="eastAsia" w:ascii="宋体" w:hAnsi="宋体" w:eastAsia="宋体" w:cs="宋体"/>
                <w:b/>
                <w:bCs/>
                <w:sz w:val="21"/>
                <w:szCs w:val="21"/>
                <w:highlight w:val="none"/>
              </w:rPr>
              <w:t>视频外无其他任何储存内容，并且须保证U盘能正常打开。投保人须自行承担U盘不能正常打开的一切责任；</w:t>
            </w:r>
          </w:p>
          <w:p>
            <w:pPr>
              <w:pStyle w:val="63"/>
              <w:spacing w:line="360" w:lineRule="auto"/>
              <w:ind w:left="108" w:right="-15"/>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（4）样品</w:t>
            </w:r>
            <w:r>
              <w:rPr>
                <w:rFonts w:hint="eastAsia" w:ascii="宋体" w:hAnsi="宋体" w:eastAsia="宋体" w:cs="宋体"/>
                <w:b/>
                <w:bCs/>
                <w:sz w:val="21"/>
                <w:szCs w:val="21"/>
                <w:highlight w:val="none"/>
              </w:rPr>
              <w:t>视频</w:t>
            </w:r>
            <w:r>
              <w:rPr>
                <w:rFonts w:hint="eastAsia" w:ascii="宋体" w:hAnsi="宋体" w:eastAsia="宋体" w:cs="宋体"/>
                <w:b/>
                <w:bCs/>
                <w:sz w:val="21"/>
                <w:szCs w:val="21"/>
                <w:highlight w:val="none"/>
                <w:lang w:val="en-US" w:eastAsia="zh-CN"/>
              </w:rPr>
              <w:t>作为</w:t>
            </w:r>
            <w:r>
              <w:rPr>
                <w:rFonts w:hint="eastAsia" w:ascii="宋体" w:hAnsi="宋体" w:eastAsia="宋体" w:cs="宋体"/>
                <w:b/>
                <w:bCs/>
                <w:sz w:val="21"/>
                <w:szCs w:val="21"/>
                <w:highlight w:val="none"/>
              </w:rPr>
              <w:t>投标文件的组成部分，</w:t>
            </w:r>
            <w:r>
              <w:rPr>
                <w:rFonts w:hint="eastAsia" w:ascii="宋体" w:hAnsi="宋体" w:eastAsia="宋体" w:cs="宋体"/>
                <w:b/>
                <w:bCs/>
                <w:sz w:val="21"/>
                <w:szCs w:val="21"/>
                <w:highlight w:val="none"/>
                <w:lang w:val="en-US" w:eastAsia="zh-CN"/>
              </w:rPr>
              <w:t>招标</w:t>
            </w:r>
            <w:r>
              <w:rPr>
                <w:rFonts w:hint="eastAsia" w:ascii="宋体" w:hAnsi="宋体" w:eastAsia="宋体" w:cs="宋体"/>
                <w:b/>
                <w:bCs/>
                <w:sz w:val="21"/>
                <w:szCs w:val="21"/>
                <w:highlight w:val="none"/>
              </w:rPr>
              <w:t>人及</w:t>
            </w:r>
            <w:r>
              <w:rPr>
                <w:rFonts w:hint="eastAsia" w:ascii="宋体" w:hAnsi="宋体" w:eastAsia="宋体" w:cs="宋体"/>
                <w:b/>
                <w:bCs/>
                <w:sz w:val="21"/>
                <w:szCs w:val="21"/>
                <w:highlight w:val="none"/>
                <w:lang w:val="en-US" w:eastAsia="zh-CN"/>
              </w:rPr>
              <w:t>招标</w:t>
            </w:r>
            <w:r>
              <w:rPr>
                <w:rFonts w:hint="eastAsia" w:ascii="宋体" w:hAnsi="宋体" w:eastAsia="宋体" w:cs="宋体"/>
                <w:b/>
                <w:bCs/>
                <w:sz w:val="21"/>
                <w:szCs w:val="21"/>
                <w:highlight w:val="none"/>
              </w:rPr>
              <w:t>代理机构可以留档备查，不予退还；</w:t>
            </w:r>
          </w:p>
          <w:p>
            <w:pPr>
              <w:pStyle w:val="63"/>
              <w:spacing w:line="360" w:lineRule="auto"/>
              <w:ind w:left="108" w:right="-15"/>
              <w:rPr>
                <w:rFonts w:hint="default"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（5）样品视频</w:t>
            </w:r>
            <w:r>
              <w:rPr>
                <w:rFonts w:hint="eastAsia" w:ascii="宋体" w:hAnsi="宋体" w:eastAsia="宋体" w:cs="宋体"/>
                <w:b/>
                <w:bCs/>
                <w:sz w:val="21"/>
                <w:szCs w:val="21"/>
                <w:highlight w:val="none"/>
              </w:rPr>
              <w:t>在评审中仅作为评分项，不提交的仅不得分，不作为否决投标的条件</w:t>
            </w:r>
            <w:r>
              <w:rPr>
                <w:rFonts w:hint="eastAsia" w:ascii="宋体" w:hAnsi="宋体" w:eastAsia="宋体" w:cs="宋体"/>
                <w:b/>
                <w:bCs/>
                <w:sz w:val="21"/>
                <w:szCs w:val="21"/>
                <w:highlight w:val="none"/>
                <w:lang w:eastAsia="zh-CN"/>
              </w:rPr>
              <w:t>；</w:t>
            </w:r>
          </w:p>
        </w:tc>
      </w:tr>
    </w:tbl>
    <w:p>
      <w:pPr>
        <w:rPr>
          <w:highlight w:val="none"/>
        </w:rPr>
      </w:pPr>
      <w:r>
        <w:rPr>
          <w:rFonts w:hint="eastAsia"/>
          <w:highlight w:val="none"/>
        </w:rPr>
        <w:br w:type="page"/>
      </w:r>
    </w:p>
    <w:p>
      <w:pPr>
        <w:pStyle w:val="5"/>
        <w:numPr>
          <w:ilvl w:val="0"/>
          <w:numId w:val="5"/>
        </w:numPr>
        <w:tabs>
          <w:tab w:val="left" w:pos="911"/>
        </w:tabs>
        <w:spacing w:line="360" w:lineRule="auto"/>
      </w:pPr>
      <w:r>
        <w:rPr>
          <w:rFonts w:hint="eastAsia"/>
        </w:rPr>
        <w:t>总则</w:t>
      </w:r>
      <w:bookmarkEnd w:id="12"/>
    </w:p>
    <w:p>
      <w:pPr>
        <w:pStyle w:val="7"/>
        <w:numPr>
          <w:ilvl w:val="1"/>
          <w:numId w:val="5"/>
        </w:numPr>
        <w:tabs>
          <w:tab w:val="left" w:pos="980"/>
        </w:tabs>
        <w:spacing w:line="360" w:lineRule="auto"/>
        <w:rPr>
          <w:b/>
          <w:bCs/>
          <w:sz w:val="21"/>
          <w:szCs w:val="21"/>
        </w:rPr>
      </w:pPr>
      <w:bookmarkStart w:id="13" w:name="1.1_项目概况"/>
      <w:bookmarkEnd w:id="13"/>
      <w:r>
        <w:rPr>
          <w:rFonts w:hint="eastAsia"/>
          <w:b/>
          <w:bCs/>
          <w:sz w:val="21"/>
          <w:szCs w:val="21"/>
        </w:rPr>
        <w:t>项目概况</w:t>
      </w:r>
    </w:p>
    <w:p>
      <w:pPr>
        <w:pStyle w:val="62"/>
        <w:numPr>
          <w:ilvl w:val="2"/>
          <w:numId w:val="5"/>
        </w:numPr>
        <w:tabs>
          <w:tab w:val="left" w:pos="1453"/>
        </w:tabs>
        <w:spacing w:line="360" w:lineRule="auto"/>
        <w:ind w:right="621" w:firstLine="420"/>
        <w:rPr>
          <w:sz w:val="21"/>
          <w:szCs w:val="21"/>
        </w:rPr>
      </w:pPr>
      <w:r>
        <w:rPr>
          <w:rFonts w:hint="eastAsia"/>
          <w:sz w:val="21"/>
          <w:szCs w:val="21"/>
        </w:rPr>
        <w:t>根据《中华人民共和国招标投标法》等有关法律、法规和规章的规定，本招标项目已具备招标条件，现对本招标项目进行招标。</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本招标项目招标人：见投标人须知前附表。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本招标项目招标代理机构：见投标人须知前附表。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本招标项目名称：见投标人须知前附表。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本招标项目建设地点：见投标人须知前附表。</w:t>
      </w:r>
    </w:p>
    <w:p>
      <w:pPr>
        <w:pStyle w:val="7"/>
        <w:numPr>
          <w:ilvl w:val="1"/>
          <w:numId w:val="5"/>
        </w:numPr>
        <w:tabs>
          <w:tab w:val="left" w:pos="980"/>
        </w:tabs>
        <w:spacing w:line="360" w:lineRule="auto"/>
        <w:rPr>
          <w:b/>
          <w:bCs/>
          <w:sz w:val="21"/>
          <w:szCs w:val="21"/>
        </w:rPr>
      </w:pPr>
      <w:bookmarkStart w:id="14" w:name="1.2_资金来源和落实情况"/>
      <w:bookmarkEnd w:id="14"/>
      <w:r>
        <w:rPr>
          <w:rFonts w:hint="eastAsia"/>
          <w:b/>
          <w:bCs/>
          <w:sz w:val="21"/>
          <w:szCs w:val="21"/>
        </w:rPr>
        <w:t>资金来源和落实情况</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本招标项目的资金来源：见投标人须知前附表。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本招标项目的出资比例：见投标人须知前附表。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本招标项目的资金落实情况：见投标人须知前附表。</w:t>
      </w:r>
    </w:p>
    <w:p>
      <w:pPr>
        <w:pStyle w:val="7"/>
        <w:numPr>
          <w:ilvl w:val="1"/>
          <w:numId w:val="5"/>
        </w:numPr>
        <w:tabs>
          <w:tab w:val="left" w:pos="980"/>
        </w:tabs>
        <w:spacing w:line="360" w:lineRule="auto"/>
        <w:rPr>
          <w:b/>
          <w:bCs/>
          <w:sz w:val="21"/>
          <w:szCs w:val="21"/>
        </w:rPr>
      </w:pPr>
      <w:bookmarkStart w:id="15" w:name="1.3_招标范围、计划交货期和质量要求"/>
      <w:bookmarkEnd w:id="15"/>
      <w:r>
        <w:rPr>
          <w:rFonts w:hint="eastAsia"/>
          <w:b/>
          <w:bCs/>
          <w:sz w:val="21"/>
          <w:szCs w:val="21"/>
        </w:rPr>
        <w:t>招标范围、计划工期和质量要求</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本招标项目的招标范围：见投标人须知前附表。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本招标项目的工期要求：见投标人须知前附表。</w:t>
      </w:r>
    </w:p>
    <w:p>
      <w:pPr>
        <w:pStyle w:val="62"/>
        <w:numPr>
          <w:ilvl w:val="2"/>
          <w:numId w:val="5"/>
        </w:numPr>
        <w:tabs>
          <w:tab w:val="left" w:pos="1506"/>
        </w:tabs>
        <w:spacing w:line="360" w:lineRule="auto"/>
        <w:ind w:left="1409" w:hanging="526"/>
        <w:rPr>
          <w:sz w:val="21"/>
          <w:szCs w:val="21"/>
        </w:rPr>
      </w:pPr>
      <w:r>
        <w:rPr>
          <w:rFonts w:hint="eastAsia"/>
          <w:sz w:val="21"/>
          <w:szCs w:val="21"/>
        </w:rPr>
        <w:t>本招标项目的质量要求：见投标人须知前附表。</w:t>
      </w:r>
    </w:p>
    <w:p>
      <w:pPr>
        <w:pStyle w:val="7"/>
        <w:numPr>
          <w:ilvl w:val="1"/>
          <w:numId w:val="5"/>
        </w:numPr>
        <w:tabs>
          <w:tab w:val="left" w:pos="980"/>
        </w:tabs>
        <w:spacing w:line="360" w:lineRule="auto"/>
        <w:rPr>
          <w:b/>
          <w:bCs/>
          <w:sz w:val="21"/>
          <w:szCs w:val="21"/>
        </w:rPr>
      </w:pPr>
      <w:bookmarkStart w:id="16" w:name="1.4_投标人资格要求"/>
      <w:bookmarkEnd w:id="16"/>
      <w:r>
        <w:rPr>
          <w:rFonts w:hint="eastAsia"/>
          <w:b/>
          <w:bCs/>
          <w:sz w:val="21"/>
          <w:szCs w:val="21"/>
        </w:rPr>
        <w:t>投标人资格要求</w:t>
      </w:r>
    </w:p>
    <w:p>
      <w:pPr>
        <w:pStyle w:val="62"/>
        <w:numPr>
          <w:ilvl w:val="2"/>
          <w:numId w:val="5"/>
        </w:numPr>
        <w:tabs>
          <w:tab w:val="left" w:pos="1453"/>
        </w:tabs>
        <w:spacing w:line="360" w:lineRule="auto"/>
        <w:ind w:right="623" w:firstLine="420"/>
        <w:rPr>
          <w:w w:val="95"/>
          <w:sz w:val="21"/>
          <w:szCs w:val="21"/>
        </w:rPr>
      </w:pPr>
      <w:r>
        <w:rPr>
          <w:rFonts w:hint="eastAsia"/>
          <w:sz w:val="21"/>
          <w:szCs w:val="21"/>
        </w:rPr>
        <w:t>投标人应具备承接本项目的资质条件、能力和信用等合格条件，详见招标文件第三章《评标办法》。</w:t>
      </w:r>
    </w:p>
    <w:p>
      <w:pPr>
        <w:pStyle w:val="62"/>
        <w:numPr>
          <w:ilvl w:val="2"/>
          <w:numId w:val="5"/>
        </w:numPr>
        <w:tabs>
          <w:tab w:val="left" w:pos="1453"/>
        </w:tabs>
        <w:spacing w:line="360" w:lineRule="auto"/>
        <w:ind w:right="623" w:firstLine="420"/>
        <w:rPr>
          <w:sz w:val="21"/>
          <w:szCs w:val="21"/>
        </w:rPr>
      </w:pPr>
      <w:r>
        <w:rPr>
          <w:rFonts w:hint="eastAsia"/>
          <w:sz w:val="21"/>
          <w:szCs w:val="21"/>
        </w:rPr>
        <w:t>投标人须知前附表规定接受联合体投标的，除应符合本章第1.4.1项和投标人须知前附表的要求外，还应遵守以下规定：</w:t>
      </w:r>
    </w:p>
    <w:p>
      <w:pPr>
        <w:pStyle w:val="62"/>
        <w:numPr>
          <w:ilvl w:val="0"/>
          <w:numId w:val="6"/>
        </w:numPr>
        <w:tabs>
          <w:tab w:val="left" w:pos="1505"/>
        </w:tabs>
        <w:spacing w:line="360" w:lineRule="auto"/>
        <w:ind w:left="1504" w:hanging="525"/>
        <w:rPr>
          <w:sz w:val="21"/>
          <w:szCs w:val="21"/>
        </w:rPr>
      </w:pPr>
      <w:r>
        <w:rPr>
          <w:rFonts w:hint="eastAsia"/>
          <w:sz w:val="21"/>
          <w:szCs w:val="21"/>
        </w:rPr>
        <w:t>联合体各方应按招标文件提供的格式签订联合体协议书，明确联合体牵头人和各方权利义务</w:t>
      </w:r>
      <w:r>
        <w:rPr>
          <w:rFonts w:hint="eastAsia"/>
          <w:spacing w:val="-5"/>
          <w:sz w:val="21"/>
          <w:szCs w:val="21"/>
        </w:rPr>
        <w:t>；</w:t>
      </w:r>
    </w:p>
    <w:p>
      <w:pPr>
        <w:pStyle w:val="62"/>
        <w:numPr>
          <w:ilvl w:val="0"/>
          <w:numId w:val="6"/>
        </w:numPr>
        <w:tabs>
          <w:tab w:val="left" w:pos="1505"/>
        </w:tabs>
        <w:spacing w:line="360" w:lineRule="auto"/>
        <w:ind w:left="1504" w:hanging="525"/>
        <w:rPr>
          <w:sz w:val="21"/>
          <w:szCs w:val="21"/>
        </w:rPr>
      </w:pPr>
      <w:r>
        <w:rPr>
          <w:rFonts w:hint="eastAsia"/>
          <w:sz w:val="21"/>
          <w:szCs w:val="21"/>
        </w:rPr>
        <w:t>由同一专业的单位组成的联合体，按照资质等级较低的单位确定资质等级；</w:t>
      </w:r>
    </w:p>
    <w:p>
      <w:pPr>
        <w:pStyle w:val="62"/>
        <w:numPr>
          <w:ilvl w:val="0"/>
          <w:numId w:val="6"/>
        </w:numPr>
        <w:tabs>
          <w:tab w:val="left" w:pos="1505"/>
        </w:tabs>
        <w:spacing w:line="360" w:lineRule="auto"/>
        <w:ind w:left="1504" w:hanging="525"/>
        <w:rPr>
          <w:sz w:val="21"/>
          <w:szCs w:val="21"/>
        </w:rPr>
      </w:pPr>
      <w:r>
        <w:rPr>
          <w:rFonts w:hint="eastAsia"/>
          <w:sz w:val="21"/>
          <w:szCs w:val="21"/>
        </w:rPr>
        <w:t>联合体各方不得再以自己名义单独或参加其他联合体在同一标段中投标。</w:t>
      </w:r>
    </w:p>
    <w:p>
      <w:pPr>
        <w:pStyle w:val="62"/>
        <w:numPr>
          <w:ilvl w:val="2"/>
          <w:numId w:val="5"/>
        </w:numPr>
        <w:tabs>
          <w:tab w:val="left" w:pos="1444"/>
        </w:tabs>
        <w:spacing w:line="360" w:lineRule="auto"/>
        <w:ind w:left="1347" w:hanging="524"/>
        <w:rPr>
          <w:sz w:val="21"/>
          <w:szCs w:val="21"/>
        </w:rPr>
      </w:pPr>
      <w:r>
        <w:rPr>
          <w:rFonts w:hint="eastAsia"/>
          <w:sz w:val="21"/>
          <w:szCs w:val="21"/>
        </w:rPr>
        <w:t>投标人不得存在下列情形之一：</w:t>
      </w:r>
    </w:p>
    <w:p>
      <w:pPr>
        <w:pStyle w:val="62"/>
        <w:numPr>
          <w:ilvl w:val="0"/>
          <w:numId w:val="7"/>
        </w:numPr>
        <w:tabs>
          <w:tab w:val="left" w:pos="1445"/>
        </w:tabs>
        <w:spacing w:line="360" w:lineRule="auto"/>
        <w:rPr>
          <w:sz w:val="21"/>
          <w:szCs w:val="21"/>
        </w:rPr>
      </w:pPr>
      <w:r>
        <w:rPr>
          <w:rFonts w:hint="eastAsia"/>
          <w:sz w:val="21"/>
          <w:szCs w:val="21"/>
        </w:rPr>
        <w:t>为招标人不具有独立法人资格的附属机构（单位）；</w:t>
      </w:r>
    </w:p>
    <w:p>
      <w:pPr>
        <w:pStyle w:val="62"/>
        <w:numPr>
          <w:ilvl w:val="0"/>
          <w:numId w:val="7"/>
        </w:numPr>
        <w:tabs>
          <w:tab w:val="left" w:pos="1445"/>
        </w:tabs>
        <w:spacing w:line="360" w:lineRule="auto"/>
        <w:rPr>
          <w:sz w:val="21"/>
          <w:szCs w:val="21"/>
        </w:rPr>
      </w:pPr>
      <w:r>
        <w:rPr>
          <w:rFonts w:hint="eastAsia"/>
          <w:sz w:val="21"/>
          <w:szCs w:val="21"/>
        </w:rPr>
        <w:t>为本标段前期准备提供设计或咨询服务的；</w:t>
      </w:r>
    </w:p>
    <w:p>
      <w:pPr>
        <w:pStyle w:val="62"/>
        <w:numPr>
          <w:ilvl w:val="0"/>
          <w:numId w:val="7"/>
        </w:numPr>
        <w:tabs>
          <w:tab w:val="left" w:pos="1445"/>
        </w:tabs>
        <w:spacing w:line="360" w:lineRule="auto"/>
        <w:rPr>
          <w:sz w:val="21"/>
          <w:szCs w:val="21"/>
        </w:rPr>
      </w:pPr>
      <w:r>
        <w:rPr>
          <w:rFonts w:hint="eastAsia"/>
          <w:sz w:val="21"/>
          <w:szCs w:val="21"/>
        </w:rPr>
        <w:t>为标段的监理人；</w:t>
      </w:r>
    </w:p>
    <w:p>
      <w:pPr>
        <w:pStyle w:val="62"/>
        <w:numPr>
          <w:ilvl w:val="0"/>
          <w:numId w:val="7"/>
        </w:numPr>
        <w:tabs>
          <w:tab w:val="left" w:pos="1445"/>
        </w:tabs>
        <w:spacing w:line="360" w:lineRule="auto"/>
        <w:rPr>
          <w:sz w:val="21"/>
          <w:szCs w:val="21"/>
        </w:rPr>
      </w:pPr>
      <w:r>
        <w:rPr>
          <w:rFonts w:hint="eastAsia"/>
          <w:sz w:val="21"/>
          <w:szCs w:val="21"/>
        </w:rPr>
        <w:t>为标段的代建人；</w:t>
      </w:r>
    </w:p>
    <w:p>
      <w:pPr>
        <w:pStyle w:val="62"/>
        <w:numPr>
          <w:ilvl w:val="0"/>
          <w:numId w:val="7"/>
        </w:numPr>
        <w:tabs>
          <w:tab w:val="left" w:pos="1445"/>
        </w:tabs>
        <w:spacing w:line="360" w:lineRule="auto"/>
        <w:rPr>
          <w:sz w:val="21"/>
          <w:szCs w:val="21"/>
        </w:rPr>
      </w:pPr>
      <w:r>
        <w:rPr>
          <w:rFonts w:hint="eastAsia"/>
          <w:sz w:val="21"/>
          <w:szCs w:val="21"/>
        </w:rPr>
        <w:t>为本标段提供招标代理服务的；</w:t>
      </w:r>
    </w:p>
    <w:p>
      <w:pPr>
        <w:pStyle w:val="62"/>
        <w:numPr>
          <w:ilvl w:val="0"/>
          <w:numId w:val="7"/>
        </w:numPr>
        <w:tabs>
          <w:tab w:val="left" w:pos="1445"/>
        </w:tabs>
        <w:spacing w:line="360" w:lineRule="auto"/>
        <w:rPr>
          <w:sz w:val="21"/>
          <w:szCs w:val="21"/>
        </w:rPr>
      </w:pPr>
      <w:r>
        <w:rPr>
          <w:rFonts w:hint="eastAsia"/>
          <w:sz w:val="21"/>
          <w:szCs w:val="21"/>
        </w:rPr>
        <w:t>与本标段的监理人或代建人或招标代理机构同为一个法定代表人的；</w:t>
      </w:r>
    </w:p>
    <w:p>
      <w:pPr>
        <w:pStyle w:val="62"/>
        <w:numPr>
          <w:ilvl w:val="0"/>
          <w:numId w:val="7"/>
        </w:numPr>
        <w:tabs>
          <w:tab w:val="left" w:pos="1445"/>
        </w:tabs>
        <w:spacing w:line="360" w:lineRule="auto"/>
        <w:rPr>
          <w:sz w:val="21"/>
          <w:szCs w:val="21"/>
        </w:rPr>
      </w:pPr>
      <w:r>
        <w:rPr>
          <w:rFonts w:hint="eastAsia"/>
          <w:sz w:val="21"/>
          <w:szCs w:val="21"/>
        </w:rPr>
        <w:t>与本标段的监理人或代建人或招标代理机构相互控股或参股的；</w:t>
      </w:r>
    </w:p>
    <w:p>
      <w:pPr>
        <w:pStyle w:val="62"/>
        <w:numPr>
          <w:ilvl w:val="0"/>
          <w:numId w:val="7"/>
        </w:numPr>
        <w:tabs>
          <w:tab w:val="left" w:pos="1445"/>
        </w:tabs>
        <w:spacing w:line="360" w:lineRule="auto"/>
        <w:rPr>
          <w:sz w:val="21"/>
          <w:szCs w:val="21"/>
        </w:rPr>
      </w:pPr>
      <w:r>
        <w:rPr>
          <w:rFonts w:hint="eastAsia"/>
          <w:sz w:val="21"/>
          <w:szCs w:val="21"/>
        </w:rPr>
        <w:t>与本标段的监理人或代建人或招标代理机构相互任职或工作的；</w:t>
      </w:r>
    </w:p>
    <w:p>
      <w:pPr>
        <w:pStyle w:val="62"/>
        <w:numPr>
          <w:ilvl w:val="0"/>
          <w:numId w:val="7"/>
        </w:numPr>
        <w:tabs>
          <w:tab w:val="left" w:pos="1445"/>
        </w:tabs>
        <w:spacing w:line="360" w:lineRule="auto"/>
        <w:rPr>
          <w:sz w:val="21"/>
          <w:szCs w:val="21"/>
        </w:rPr>
      </w:pPr>
      <w:r>
        <w:rPr>
          <w:rFonts w:hint="eastAsia"/>
          <w:sz w:val="21"/>
          <w:szCs w:val="21"/>
        </w:rPr>
        <w:t>被责令停业的；</w:t>
      </w:r>
    </w:p>
    <w:p>
      <w:pPr>
        <w:pStyle w:val="62"/>
        <w:numPr>
          <w:ilvl w:val="0"/>
          <w:numId w:val="7"/>
        </w:numPr>
        <w:tabs>
          <w:tab w:val="left" w:pos="1550"/>
        </w:tabs>
        <w:spacing w:line="360" w:lineRule="auto"/>
        <w:ind w:left="1550" w:hanging="630"/>
        <w:rPr>
          <w:sz w:val="21"/>
          <w:szCs w:val="21"/>
        </w:rPr>
      </w:pPr>
      <w:r>
        <w:rPr>
          <w:rFonts w:hint="eastAsia"/>
          <w:sz w:val="21"/>
          <w:szCs w:val="21"/>
        </w:rPr>
        <w:t>被暂停或取消投标资格的；</w:t>
      </w:r>
    </w:p>
    <w:p>
      <w:pPr>
        <w:pStyle w:val="62"/>
        <w:numPr>
          <w:ilvl w:val="0"/>
          <w:numId w:val="7"/>
        </w:numPr>
        <w:tabs>
          <w:tab w:val="left" w:pos="1541"/>
        </w:tabs>
        <w:spacing w:line="360" w:lineRule="auto"/>
        <w:ind w:left="1540" w:hanging="621"/>
        <w:rPr>
          <w:sz w:val="21"/>
          <w:szCs w:val="21"/>
        </w:rPr>
      </w:pPr>
      <w:r>
        <w:rPr>
          <w:rFonts w:hint="eastAsia"/>
          <w:sz w:val="21"/>
          <w:szCs w:val="21"/>
        </w:rPr>
        <w:t>财产被接管或冻结的；</w:t>
      </w:r>
    </w:p>
    <w:p>
      <w:pPr>
        <w:pStyle w:val="62"/>
        <w:numPr>
          <w:ilvl w:val="0"/>
          <w:numId w:val="7"/>
        </w:numPr>
        <w:tabs>
          <w:tab w:val="left" w:pos="1550"/>
        </w:tabs>
        <w:spacing w:line="360" w:lineRule="auto"/>
        <w:ind w:left="1550" w:hanging="630"/>
        <w:rPr>
          <w:sz w:val="21"/>
          <w:szCs w:val="21"/>
        </w:rPr>
      </w:pPr>
      <w:r>
        <w:rPr>
          <w:rFonts w:hint="eastAsia"/>
          <w:sz w:val="21"/>
          <w:szCs w:val="21"/>
        </w:rPr>
        <w:t>被“信用中国”（</w:t>
      </w:r>
      <w:r>
        <w:fldChar w:fldCharType="begin"/>
      </w:r>
      <w:r>
        <w:instrText xml:space="preserve"> HYPERLINK "http://www.creditchina.gov.cn/" \h </w:instrText>
      </w:r>
      <w:r>
        <w:fldChar w:fldCharType="separate"/>
      </w:r>
      <w:r>
        <w:rPr>
          <w:rFonts w:hint="eastAsia"/>
          <w:sz w:val="21"/>
          <w:szCs w:val="21"/>
        </w:rPr>
        <w:t>www.creditchina.gov.cn</w:t>
      </w:r>
      <w:r>
        <w:rPr>
          <w:rFonts w:hint="eastAsia"/>
          <w:sz w:val="21"/>
          <w:szCs w:val="21"/>
        </w:rPr>
        <w:fldChar w:fldCharType="end"/>
      </w:r>
      <w:r>
        <w:rPr>
          <w:rFonts w:hint="eastAsia"/>
          <w:sz w:val="21"/>
          <w:szCs w:val="21"/>
        </w:rPr>
        <w:t>）列入失信惩戒对象的。</w:t>
      </w:r>
    </w:p>
    <w:p>
      <w:pPr>
        <w:pStyle w:val="62"/>
        <w:numPr>
          <w:ilvl w:val="2"/>
          <w:numId w:val="5"/>
        </w:numPr>
        <w:tabs>
          <w:tab w:val="left" w:pos="1453"/>
        </w:tabs>
        <w:spacing w:line="360" w:lineRule="auto"/>
        <w:ind w:right="621" w:firstLine="420"/>
        <w:jc w:val="both"/>
        <w:rPr>
          <w:sz w:val="21"/>
        </w:rPr>
      </w:pPr>
      <w:r>
        <w:rPr>
          <w:rFonts w:hint="eastAsia"/>
          <w:sz w:val="21"/>
          <w:szCs w:val="21"/>
        </w:rPr>
        <w:t>与招标人存在利害关系可能影响招标公正性的法人、其他组织或者个人，不得参加投标。单位负责人为同一人或者存在控股、管理关系的不同单位，不得参加同一标段投标或者未划分标段的同一招标项目投标</w:t>
      </w:r>
      <w:r>
        <w:rPr>
          <w:rFonts w:hint="eastAsia"/>
          <w:sz w:val="21"/>
        </w:rPr>
        <w:t>。</w:t>
      </w:r>
    </w:p>
    <w:p>
      <w:pPr>
        <w:pStyle w:val="7"/>
        <w:numPr>
          <w:ilvl w:val="1"/>
          <w:numId w:val="5"/>
        </w:numPr>
        <w:tabs>
          <w:tab w:val="left" w:pos="980"/>
        </w:tabs>
        <w:spacing w:line="360" w:lineRule="auto"/>
        <w:rPr>
          <w:b/>
          <w:bCs/>
          <w:sz w:val="21"/>
          <w:szCs w:val="21"/>
        </w:rPr>
      </w:pPr>
      <w:bookmarkStart w:id="17" w:name="1.5_费用承担"/>
      <w:bookmarkEnd w:id="17"/>
      <w:r>
        <w:rPr>
          <w:rFonts w:hint="eastAsia"/>
          <w:b/>
          <w:bCs/>
          <w:sz w:val="21"/>
          <w:szCs w:val="21"/>
        </w:rPr>
        <w:t>费用承担</w:t>
      </w:r>
    </w:p>
    <w:p>
      <w:pPr>
        <w:pStyle w:val="12"/>
        <w:spacing w:line="360" w:lineRule="auto"/>
        <w:ind w:left="980"/>
      </w:pPr>
      <w:r>
        <w:rPr>
          <w:rFonts w:hint="eastAsia"/>
        </w:rPr>
        <w:t>投标人准备和参加投标活动发生的费用自理。</w:t>
      </w:r>
    </w:p>
    <w:p>
      <w:pPr>
        <w:pStyle w:val="7"/>
        <w:numPr>
          <w:ilvl w:val="1"/>
          <w:numId w:val="5"/>
        </w:numPr>
        <w:tabs>
          <w:tab w:val="left" w:pos="980"/>
        </w:tabs>
        <w:spacing w:line="360" w:lineRule="auto"/>
        <w:rPr>
          <w:b/>
          <w:bCs/>
          <w:sz w:val="21"/>
          <w:szCs w:val="21"/>
        </w:rPr>
      </w:pPr>
      <w:bookmarkStart w:id="18" w:name="1.6_保密"/>
      <w:bookmarkEnd w:id="18"/>
      <w:r>
        <w:rPr>
          <w:rFonts w:hint="eastAsia"/>
          <w:b/>
          <w:bCs/>
          <w:sz w:val="21"/>
          <w:szCs w:val="21"/>
        </w:rPr>
        <w:t>保密</w:t>
      </w:r>
    </w:p>
    <w:p>
      <w:pPr>
        <w:pStyle w:val="12"/>
        <w:spacing w:line="360" w:lineRule="auto"/>
        <w:ind w:left="560" w:right="514" w:rightChars="245" w:firstLine="420"/>
      </w:pPr>
      <w:r>
        <w:rPr>
          <w:rFonts w:hint="eastAsia"/>
        </w:rPr>
        <w:t>参与招标投标活动的各方应对招标文件和投标文件中的商业和技术等秘密保密，违者应对由此造成的后果承担法律责任。</w:t>
      </w:r>
    </w:p>
    <w:p>
      <w:pPr>
        <w:pStyle w:val="7"/>
        <w:numPr>
          <w:ilvl w:val="1"/>
          <w:numId w:val="5"/>
        </w:numPr>
        <w:tabs>
          <w:tab w:val="left" w:pos="980"/>
        </w:tabs>
        <w:spacing w:line="360" w:lineRule="auto"/>
        <w:rPr>
          <w:b/>
          <w:bCs/>
          <w:sz w:val="21"/>
          <w:szCs w:val="21"/>
        </w:rPr>
      </w:pPr>
      <w:bookmarkStart w:id="19" w:name="1.7_语言文字"/>
      <w:bookmarkEnd w:id="19"/>
      <w:r>
        <w:rPr>
          <w:rFonts w:hint="eastAsia"/>
          <w:b/>
          <w:bCs/>
          <w:sz w:val="21"/>
          <w:szCs w:val="21"/>
        </w:rPr>
        <w:t>语言文字</w:t>
      </w:r>
    </w:p>
    <w:p>
      <w:pPr>
        <w:pStyle w:val="12"/>
        <w:spacing w:line="360" w:lineRule="auto"/>
        <w:ind w:left="980"/>
      </w:pPr>
      <w:r>
        <w:rPr>
          <w:rFonts w:hint="eastAsia"/>
        </w:rPr>
        <w:t>除专用术语外，与招标投标有关的语言均使用简体中文。必要时专用术语应附有中文注释。</w:t>
      </w:r>
    </w:p>
    <w:p>
      <w:pPr>
        <w:pStyle w:val="7"/>
        <w:numPr>
          <w:ilvl w:val="1"/>
          <w:numId w:val="5"/>
        </w:numPr>
        <w:tabs>
          <w:tab w:val="left" w:pos="980"/>
        </w:tabs>
        <w:spacing w:line="360" w:lineRule="auto"/>
        <w:rPr>
          <w:b/>
          <w:bCs/>
          <w:sz w:val="21"/>
          <w:szCs w:val="21"/>
        </w:rPr>
      </w:pPr>
      <w:bookmarkStart w:id="20" w:name="1.8_计量单位"/>
      <w:bookmarkEnd w:id="20"/>
      <w:r>
        <w:rPr>
          <w:rFonts w:hint="eastAsia"/>
          <w:b/>
          <w:bCs/>
          <w:sz w:val="21"/>
          <w:szCs w:val="21"/>
        </w:rPr>
        <w:t>计量单位</w:t>
      </w:r>
    </w:p>
    <w:p>
      <w:pPr>
        <w:pStyle w:val="12"/>
        <w:spacing w:line="360" w:lineRule="auto"/>
        <w:ind w:left="980"/>
      </w:pPr>
      <w:r>
        <w:rPr>
          <w:rFonts w:hint="eastAsia"/>
        </w:rPr>
        <w:t>所有计量均采用中华人民共和国法定计量单位。</w:t>
      </w:r>
    </w:p>
    <w:p>
      <w:pPr>
        <w:pStyle w:val="7"/>
        <w:numPr>
          <w:ilvl w:val="1"/>
          <w:numId w:val="5"/>
        </w:numPr>
        <w:tabs>
          <w:tab w:val="left" w:pos="980"/>
        </w:tabs>
        <w:spacing w:line="360" w:lineRule="auto"/>
        <w:rPr>
          <w:b/>
          <w:bCs/>
          <w:sz w:val="21"/>
          <w:szCs w:val="21"/>
        </w:rPr>
      </w:pPr>
      <w:bookmarkStart w:id="21" w:name="1.9_踏勘现场"/>
      <w:bookmarkEnd w:id="21"/>
      <w:r>
        <w:rPr>
          <w:rFonts w:hint="eastAsia"/>
          <w:b/>
          <w:bCs/>
          <w:sz w:val="21"/>
          <w:szCs w:val="21"/>
        </w:rPr>
        <w:t>踏勘现场</w:t>
      </w:r>
    </w:p>
    <w:p>
      <w:pPr>
        <w:pStyle w:val="62"/>
        <w:numPr>
          <w:ilvl w:val="2"/>
          <w:numId w:val="5"/>
        </w:numPr>
        <w:tabs>
          <w:tab w:val="left" w:pos="1453"/>
        </w:tabs>
        <w:spacing w:line="360" w:lineRule="auto"/>
        <w:ind w:right="621" w:firstLine="420"/>
        <w:rPr>
          <w:sz w:val="21"/>
        </w:rPr>
      </w:pPr>
      <w:r>
        <w:rPr>
          <w:rFonts w:hint="eastAsia"/>
          <w:sz w:val="21"/>
          <w:szCs w:val="21"/>
        </w:rPr>
        <w:t>投标人须知前附表规定组织踏勘现场的，招标人按投标人须知前附表规定的时间、地点组织投标人踏勘项目现场及周围环境。</w:t>
      </w:r>
    </w:p>
    <w:p>
      <w:pPr>
        <w:pStyle w:val="12"/>
        <w:spacing w:line="360" w:lineRule="auto"/>
        <w:ind w:left="399" w:leftChars="190" w:right="621" w:firstLine="420" w:firstLineChars="200"/>
      </w:pPr>
      <w:r>
        <w:rPr>
          <w:rFonts w:hint="eastAsia"/>
        </w:rPr>
        <w:t>招标人不集中组织投标人踏勘现场，投标人为获取编制投标文件和签署合同所需的资料需对工程现场及周围环境进行踏勘的，请与招标人联系。</w:t>
      </w:r>
    </w:p>
    <w:p>
      <w:pPr>
        <w:pStyle w:val="62"/>
        <w:numPr>
          <w:ilvl w:val="2"/>
          <w:numId w:val="5"/>
        </w:numPr>
        <w:tabs>
          <w:tab w:val="left" w:pos="1506"/>
        </w:tabs>
        <w:spacing w:line="360" w:lineRule="auto"/>
        <w:ind w:left="1409" w:hanging="526"/>
        <w:rPr>
          <w:sz w:val="21"/>
        </w:rPr>
      </w:pPr>
      <w:r>
        <w:rPr>
          <w:rFonts w:hint="eastAsia"/>
          <w:sz w:val="21"/>
          <w:szCs w:val="21"/>
        </w:rPr>
        <w:t>投标人踏勘现场发生的费用自理</w:t>
      </w:r>
      <w:r>
        <w:rPr>
          <w:rFonts w:hint="eastAsia"/>
          <w:sz w:val="21"/>
        </w:rPr>
        <w:t>。</w:t>
      </w:r>
    </w:p>
    <w:p>
      <w:pPr>
        <w:pStyle w:val="62"/>
        <w:numPr>
          <w:ilvl w:val="2"/>
          <w:numId w:val="5"/>
        </w:numPr>
        <w:tabs>
          <w:tab w:val="left" w:pos="1506"/>
        </w:tabs>
        <w:spacing w:line="360" w:lineRule="auto"/>
        <w:ind w:left="1409" w:hanging="526"/>
        <w:rPr>
          <w:sz w:val="21"/>
          <w:szCs w:val="21"/>
        </w:rPr>
      </w:pPr>
      <w:r>
        <w:rPr>
          <w:rFonts w:hint="eastAsia"/>
          <w:sz w:val="21"/>
          <w:szCs w:val="21"/>
        </w:rPr>
        <w:t>除招标人的原因外，投标人自行负责在踏勘现场中所发生的人员伤亡和财产损失。</w:t>
      </w:r>
    </w:p>
    <w:p>
      <w:pPr>
        <w:pStyle w:val="62"/>
        <w:numPr>
          <w:ilvl w:val="2"/>
          <w:numId w:val="5"/>
        </w:numPr>
        <w:tabs>
          <w:tab w:val="left" w:pos="1506"/>
        </w:tabs>
        <w:spacing w:line="360" w:lineRule="auto"/>
        <w:ind w:left="525" w:right="630" w:rightChars="300" w:firstLine="358"/>
        <w:rPr>
          <w:sz w:val="21"/>
        </w:rPr>
      </w:pPr>
      <w:r>
        <w:rPr>
          <w:rFonts w:hint="eastAsia"/>
          <w:sz w:val="21"/>
          <w:szCs w:val="21"/>
        </w:rPr>
        <w:t>招标人在踏勘现场中介绍的工程场地和相关的周边环境情况，供投标人在编制投标文件时参考，招标人不对投标人据此作出的判断和决策负责</w:t>
      </w:r>
      <w:r>
        <w:rPr>
          <w:rFonts w:hint="eastAsia"/>
          <w:sz w:val="21"/>
        </w:rPr>
        <w:t>。</w:t>
      </w:r>
    </w:p>
    <w:p>
      <w:pPr>
        <w:pStyle w:val="7"/>
        <w:numPr>
          <w:ilvl w:val="1"/>
          <w:numId w:val="5"/>
        </w:numPr>
        <w:tabs>
          <w:tab w:val="left" w:pos="980"/>
        </w:tabs>
        <w:spacing w:line="360" w:lineRule="auto"/>
        <w:rPr>
          <w:b/>
          <w:bCs/>
          <w:sz w:val="21"/>
          <w:szCs w:val="21"/>
        </w:rPr>
      </w:pPr>
      <w:bookmarkStart w:id="22" w:name="1.10_投标预备会"/>
      <w:bookmarkEnd w:id="22"/>
      <w:r>
        <w:rPr>
          <w:rFonts w:hint="eastAsia"/>
          <w:b/>
          <w:bCs/>
          <w:sz w:val="21"/>
          <w:szCs w:val="21"/>
        </w:rPr>
        <w:t>投标预备会</w:t>
      </w:r>
    </w:p>
    <w:p>
      <w:pPr>
        <w:pStyle w:val="62"/>
        <w:numPr>
          <w:ilvl w:val="2"/>
          <w:numId w:val="5"/>
        </w:numPr>
        <w:tabs>
          <w:tab w:val="left" w:pos="1559"/>
        </w:tabs>
        <w:spacing w:line="360" w:lineRule="auto"/>
        <w:ind w:right="624" w:firstLine="420"/>
        <w:jc w:val="both"/>
        <w:rPr>
          <w:sz w:val="21"/>
        </w:rPr>
      </w:pPr>
      <w:r>
        <w:rPr>
          <w:rFonts w:hint="eastAsia"/>
          <w:sz w:val="21"/>
          <w:szCs w:val="21"/>
        </w:rPr>
        <w:t>投标人须知前附表规定召开投标预备会的，招标人按照招标公告规定的时间和地点召开投标预备会。无论是否召开投标预备会，招标人都将在投标人须知前附表规定的时间内，澄清投标人提出的问题</w:t>
      </w:r>
      <w:r>
        <w:rPr>
          <w:rFonts w:hint="eastAsia"/>
          <w:sz w:val="21"/>
        </w:rPr>
        <w:t>。</w:t>
      </w:r>
    </w:p>
    <w:p>
      <w:pPr>
        <w:pStyle w:val="62"/>
        <w:numPr>
          <w:ilvl w:val="2"/>
          <w:numId w:val="5"/>
        </w:numPr>
        <w:tabs>
          <w:tab w:val="left" w:pos="1559"/>
        </w:tabs>
        <w:spacing w:line="360" w:lineRule="auto"/>
        <w:ind w:right="624" w:firstLine="420"/>
        <w:jc w:val="both"/>
        <w:rPr>
          <w:sz w:val="21"/>
          <w:szCs w:val="21"/>
        </w:rPr>
      </w:pPr>
      <w:r>
        <w:rPr>
          <w:rFonts w:hint="eastAsia"/>
          <w:sz w:val="21"/>
          <w:szCs w:val="21"/>
        </w:rPr>
        <w:t>投标人应在投标人须知前附表规定的时间前，以投标人的CA锁登陆“</w:t>
      </w:r>
      <w:r>
        <w:rPr>
          <w:rFonts w:hint="eastAsia"/>
        </w:rPr>
        <w:t>嘉兴市公共资源交易网（海盐）</w:t>
      </w: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）异议模块”提出答疑问题，以便招标人对问题进行澄清。</w:t>
      </w:r>
    </w:p>
    <w:p>
      <w:pPr>
        <w:pStyle w:val="62"/>
        <w:numPr>
          <w:ilvl w:val="2"/>
          <w:numId w:val="5"/>
        </w:numPr>
        <w:tabs>
          <w:tab w:val="left" w:pos="1559"/>
        </w:tabs>
        <w:spacing w:line="360" w:lineRule="auto"/>
        <w:ind w:right="624" w:firstLine="420"/>
        <w:jc w:val="both"/>
        <w:rPr>
          <w:sz w:val="21"/>
          <w:szCs w:val="21"/>
        </w:rPr>
      </w:pPr>
      <w:r>
        <w:rPr>
          <w:rFonts w:hint="eastAsia"/>
          <w:sz w:val="21"/>
          <w:szCs w:val="21"/>
        </w:rPr>
        <w:t>招标人按照本须知第2.2款的规定对招标文件进行澄清和修改。该澄清和修改的内容为招标文件的组成部分。</w:t>
      </w:r>
    </w:p>
    <w:p>
      <w:pPr>
        <w:pStyle w:val="7"/>
        <w:numPr>
          <w:ilvl w:val="1"/>
          <w:numId w:val="5"/>
        </w:numPr>
        <w:tabs>
          <w:tab w:val="left" w:pos="980"/>
        </w:tabs>
        <w:spacing w:line="360" w:lineRule="auto"/>
        <w:rPr>
          <w:sz w:val="21"/>
          <w:szCs w:val="21"/>
        </w:rPr>
      </w:pPr>
      <w:bookmarkStart w:id="23" w:name="1.11_投标截止时间"/>
      <w:bookmarkEnd w:id="23"/>
      <w:r>
        <w:rPr>
          <w:rFonts w:hint="eastAsia"/>
          <w:sz w:val="21"/>
          <w:szCs w:val="21"/>
        </w:rPr>
        <w:t>投标截止时间</w:t>
      </w:r>
    </w:p>
    <w:p>
      <w:pPr>
        <w:pStyle w:val="12"/>
        <w:spacing w:line="360" w:lineRule="auto"/>
        <w:ind w:left="980"/>
      </w:pPr>
      <w:r>
        <w:rPr>
          <w:rFonts w:hint="eastAsia"/>
        </w:rPr>
        <w:t>投标截止时间详见本须知前附表。</w:t>
      </w:r>
    </w:p>
    <w:p>
      <w:pPr>
        <w:pStyle w:val="7"/>
        <w:numPr>
          <w:ilvl w:val="1"/>
          <w:numId w:val="5"/>
        </w:numPr>
        <w:tabs>
          <w:tab w:val="left" w:pos="980"/>
        </w:tabs>
        <w:spacing w:line="360" w:lineRule="auto"/>
        <w:rPr>
          <w:b/>
          <w:bCs/>
          <w:sz w:val="21"/>
          <w:szCs w:val="21"/>
        </w:rPr>
      </w:pPr>
      <w:bookmarkStart w:id="24" w:name="1.12_分包"/>
      <w:bookmarkEnd w:id="24"/>
      <w:r>
        <w:rPr>
          <w:rFonts w:hint="eastAsia"/>
          <w:b/>
          <w:bCs/>
          <w:sz w:val="21"/>
          <w:szCs w:val="21"/>
        </w:rPr>
        <w:t>分包</w:t>
      </w:r>
    </w:p>
    <w:p>
      <w:pPr>
        <w:pStyle w:val="7"/>
        <w:tabs>
          <w:tab w:val="left" w:pos="980"/>
        </w:tabs>
        <w:spacing w:line="360" w:lineRule="auto"/>
        <w:ind w:left="439" w:firstLine="420" w:firstLineChars="200"/>
        <w:rPr>
          <w:w w:val="95"/>
          <w:sz w:val="21"/>
          <w:szCs w:val="21"/>
        </w:rPr>
      </w:pPr>
      <w:r>
        <w:rPr>
          <w:rFonts w:hint="eastAsia"/>
          <w:sz w:val="21"/>
          <w:szCs w:val="21"/>
        </w:rPr>
        <w:t>投标人拟在中标后将中标项目的部分非主体、非关键性工作进行分包的，分包内容、分包金额和接受分包的第三人资质等应符合国家相关规定和合同规定</w:t>
      </w:r>
      <w:r>
        <w:rPr>
          <w:rFonts w:hint="eastAsia"/>
          <w:w w:val="95"/>
          <w:sz w:val="21"/>
          <w:szCs w:val="21"/>
        </w:rPr>
        <w:t>。</w:t>
      </w:r>
    </w:p>
    <w:p>
      <w:pPr>
        <w:pStyle w:val="7"/>
        <w:numPr>
          <w:ilvl w:val="1"/>
          <w:numId w:val="5"/>
        </w:numPr>
        <w:tabs>
          <w:tab w:val="left" w:pos="980"/>
        </w:tabs>
        <w:spacing w:line="360" w:lineRule="auto"/>
        <w:rPr>
          <w:b/>
          <w:bCs/>
          <w:sz w:val="21"/>
          <w:szCs w:val="21"/>
        </w:rPr>
      </w:pPr>
      <w:bookmarkStart w:id="25" w:name="1.13_偏离"/>
      <w:bookmarkEnd w:id="25"/>
      <w:r>
        <w:rPr>
          <w:rFonts w:hint="eastAsia"/>
          <w:b/>
          <w:bCs/>
          <w:sz w:val="21"/>
          <w:szCs w:val="21"/>
        </w:rPr>
        <w:t>偏离</w:t>
      </w:r>
    </w:p>
    <w:p>
      <w:pPr>
        <w:pStyle w:val="12"/>
        <w:spacing w:line="360" w:lineRule="auto"/>
        <w:ind w:left="496" w:leftChars="236" w:right="624" w:firstLine="420" w:firstLineChars="200"/>
      </w:pPr>
      <w:r>
        <w:rPr>
          <w:rFonts w:hint="eastAsia"/>
        </w:rPr>
        <w:t>投标人须知前附表允许投标文件偏离招标文件某些要求的，偏离应当符合招标文件规定的偏离范围和幅度，不允许负偏离。</w:t>
      </w:r>
    </w:p>
    <w:p>
      <w:pPr>
        <w:pStyle w:val="5"/>
        <w:numPr>
          <w:ilvl w:val="0"/>
          <w:numId w:val="5"/>
        </w:numPr>
        <w:tabs>
          <w:tab w:val="left" w:pos="911"/>
        </w:tabs>
        <w:spacing w:line="360" w:lineRule="auto"/>
        <w:rPr>
          <w:b/>
          <w:bCs/>
          <w:sz w:val="21"/>
          <w:szCs w:val="21"/>
        </w:rPr>
      </w:pPr>
      <w:bookmarkStart w:id="26" w:name="2._招标文件"/>
      <w:bookmarkEnd w:id="26"/>
      <w:bookmarkStart w:id="27" w:name="_Toc3189"/>
      <w:r>
        <w:rPr>
          <w:rFonts w:hint="eastAsia"/>
          <w:b/>
          <w:bCs/>
          <w:sz w:val="21"/>
          <w:szCs w:val="21"/>
        </w:rPr>
        <w:t>招标文件</w:t>
      </w:r>
      <w:bookmarkEnd w:id="27"/>
    </w:p>
    <w:p>
      <w:pPr>
        <w:pStyle w:val="7"/>
        <w:numPr>
          <w:ilvl w:val="1"/>
          <w:numId w:val="5"/>
        </w:numPr>
        <w:tabs>
          <w:tab w:val="left" w:pos="980"/>
        </w:tabs>
        <w:spacing w:line="360" w:lineRule="auto"/>
        <w:rPr>
          <w:b/>
          <w:bCs/>
          <w:sz w:val="21"/>
          <w:szCs w:val="21"/>
        </w:rPr>
      </w:pPr>
      <w:bookmarkStart w:id="28" w:name="2.1_招标文件的组成"/>
      <w:bookmarkEnd w:id="28"/>
      <w:r>
        <w:rPr>
          <w:rFonts w:hint="eastAsia"/>
          <w:b/>
          <w:bCs/>
          <w:sz w:val="21"/>
          <w:szCs w:val="21"/>
        </w:rPr>
        <w:t>招标文件的组成</w:t>
      </w:r>
    </w:p>
    <w:p>
      <w:pPr>
        <w:pStyle w:val="12"/>
        <w:spacing w:line="360" w:lineRule="auto"/>
        <w:ind w:left="980"/>
      </w:pPr>
      <w:r>
        <w:rPr>
          <w:rFonts w:hint="eastAsia"/>
        </w:rPr>
        <w:t>本招标文件包括：</w:t>
      </w:r>
    </w:p>
    <w:p>
      <w:pPr>
        <w:pStyle w:val="62"/>
        <w:numPr>
          <w:ilvl w:val="0"/>
          <w:numId w:val="8"/>
        </w:numPr>
        <w:tabs>
          <w:tab w:val="left" w:pos="1505"/>
        </w:tabs>
        <w:spacing w:line="360" w:lineRule="auto"/>
        <w:rPr>
          <w:sz w:val="21"/>
        </w:rPr>
      </w:pPr>
      <w:r>
        <w:rPr>
          <w:rFonts w:hint="eastAsia"/>
          <w:sz w:val="21"/>
          <w:szCs w:val="21"/>
        </w:rPr>
        <w:t>招标公告</w:t>
      </w:r>
      <w:r>
        <w:rPr>
          <w:rFonts w:hint="eastAsia"/>
          <w:sz w:val="21"/>
        </w:rPr>
        <w:t>；</w:t>
      </w:r>
    </w:p>
    <w:p>
      <w:pPr>
        <w:pStyle w:val="62"/>
        <w:numPr>
          <w:ilvl w:val="0"/>
          <w:numId w:val="8"/>
        </w:numPr>
        <w:tabs>
          <w:tab w:val="left" w:pos="1505"/>
        </w:tabs>
        <w:spacing w:line="360" w:lineRule="auto"/>
        <w:rPr>
          <w:sz w:val="21"/>
          <w:szCs w:val="21"/>
        </w:rPr>
      </w:pPr>
      <w:r>
        <w:rPr>
          <w:rFonts w:hint="eastAsia"/>
          <w:sz w:val="21"/>
          <w:szCs w:val="21"/>
        </w:rPr>
        <w:t>投标人须知；</w:t>
      </w:r>
    </w:p>
    <w:p>
      <w:pPr>
        <w:pStyle w:val="62"/>
        <w:numPr>
          <w:ilvl w:val="0"/>
          <w:numId w:val="8"/>
        </w:numPr>
        <w:tabs>
          <w:tab w:val="left" w:pos="1505"/>
        </w:tabs>
        <w:spacing w:line="360" w:lineRule="auto"/>
        <w:rPr>
          <w:sz w:val="21"/>
          <w:szCs w:val="21"/>
        </w:rPr>
      </w:pPr>
      <w:r>
        <w:rPr>
          <w:rFonts w:hint="eastAsia"/>
          <w:sz w:val="21"/>
          <w:szCs w:val="21"/>
        </w:rPr>
        <w:t>评标办法；</w:t>
      </w:r>
    </w:p>
    <w:p>
      <w:pPr>
        <w:pStyle w:val="62"/>
        <w:numPr>
          <w:ilvl w:val="0"/>
          <w:numId w:val="8"/>
        </w:numPr>
        <w:tabs>
          <w:tab w:val="left" w:pos="1505"/>
        </w:tabs>
        <w:spacing w:line="360" w:lineRule="auto"/>
        <w:rPr>
          <w:sz w:val="21"/>
          <w:szCs w:val="21"/>
        </w:rPr>
      </w:pPr>
      <w:r>
        <w:rPr>
          <w:rFonts w:hint="eastAsia"/>
          <w:sz w:val="21"/>
          <w:szCs w:val="21"/>
        </w:rPr>
        <w:t>合同条款及格式；</w:t>
      </w:r>
    </w:p>
    <w:p>
      <w:pPr>
        <w:pStyle w:val="62"/>
        <w:numPr>
          <w:ilvl w:val="0"/>
          <w:numId w:val="8"/>
        </w:numPr>
        <w:tabs>
          <w:tab w:val="left" w:pos="1505"/>
        </w:tabs>
        <w:spacing w:line="360" w:lineRule="auto"/>
        <w:rPr>
          <w:sz w:val="21"/>
          <w:szCs w:val="21"/>
        </w:rPr>
      </w:pPr>
      <w:r>
        <w:rPr>
          <w:rFonts w:hint="eastAsia"/>
          <w:sz w:val="21"/>
          <w:szCs w:val="21"/>
        </w:rPr>
        <w:t>技术标准和要求；</w:t>
      </w:r>
    </w:p>
    <w:p>
      <w:pPr>
        <w:pStyle w:val="62"/>
        <w:numPr>
          <w:ilvl w:val="0"/>
          <w:numId w:val="8"/>
        </w:numPr>
        <w:tabs>
          <w:tab w:val="left" w:pos="1505"/>
        </w:tabs>
        <w:spacing w:line="360" w:lineRule="auto"/>
        <w:rPr>
          <w:sz w:val="21"/>
          <w:szCs w:val="21"/>
        </w:rPr>
      </w:pPr>
      <w:r>
        <w:rPr>
          <w:rFonts w:hint="eastAsia"/>
          <w:sz w:val="21"/>
          <w:szCs w:val="21"/>
        </w:rPr>
        <w:t>投标文件格式；</w:t>
      </w:r>
    </w:p>
    <w:p>
      <w:pPr>
        <w:pStyle w:val="12"/>
        <w:spacing w:line="360" w:lineRule="auto"/>
        <w:ind w:left="980"/>
      </w:pPr>
      <w:r>
        <w:rPr>
          <w:rFonts w:hint="eastAsia"/>
        </w:rPr>
        <w:t>根据本章第 1.10 款、第 2.2 款对招标文件所作的澄清和修改，构成招标文件的组成部分。</w:t>
      </w:r>
    </w:p>
    <w:p>
      <w:pPr>
        <w:pStyle w:val="7"/>
        <w:numPr>
          <w:ilvl w:val="1"/>
          <w:numId w:val="5"/>
        </w:numPr>
        <w:tabs>
          <w:tab w:val="left" w:pos="980"/>
        </w:tabs>
        <w:spacing w:line="360" w:lineRule="auto"/>
        <w:rPr>
          <w:b/>
          <w:bCs/>
          <w:sz w:val="21"/>
          <w:szCs w:val="21"/>
        </w:rPr>
      </w:pPr>
      <w:r>
        <w:rPr>
          <w:rFonts w:hint="eastAsia"/>
          <w:b/>
          <w:bCs/>
          <w:sz w:val="21"/>
          <w:szCs w:val="21"/>
        </w:rPr>
        <w:t>招标文件的澄清和修改</w:t>
      </w:r>
    </w:p>
    <w:p>
      <w:pPr>
        <w:pStyle w:val="62"/>
        <w:numPr>
          <w:ilvl w:val="2"/>
          <w:numId w:val="5"/>
        </w:numPr>
        <w:tabs>
          <w:tab w:val="left" w:pos="1559"/>
        </w:tabs>
        <w:spacing w:line="360" w:lineRule="auto"/>
        <w:ind w:right="624" w:firstLine="420"/>
        <w:jc w:val="both"/>
        <w:rPr>
          <w:sz w:val="21"/>
          <w:szCs w:val="21"/>
        </w:rPr>
      </w:pPr>
      <w:r>
        <w:rPr>
          <w:rFonts w:hint="eastAsia"/>
          <w:sz w:val="21"/>
          <w:szCs w:val="21"/>
        </w:rPr>
        <w:t>投标人应仔细阅读和检查招标文件的全部内容。如发现缺页或附件不全，应及时向招标人提出，以便重新上传电子稿招标文件。如有疑问，应以投标人的 CA 锁登陆“</w:t>
      </w:r>
      <w:r>
        <w:rPr>
          <w:rFonts w:hint="eastAsia"/>
        </w:rPr>
        <w:t>嘉兴市公共资源交易网（海盐）</w:t>
      </w: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）异议模块”将所提疑问以电子文档形式上传，要求招标人对招标文件予以澄清。</w:t>
      </w:r>
    </w:p>
    <w:p>
      <w:pPr>
        <w:pStyle w:val="62"/>
        <w:numPr>
          <w:ilvl w:val="2"/>
          <w:numId w:val="5"/>
        </w:numPr>
        <w:tabs>
          <w:tab w:val="left" w:pos="1559"/>
        </w:tabs>
        <w:spacing w:line="360" w:lineRule="auto"/>
        <w:ind w:right="624" w:firstLine="420"/>
        <w:jc w:val="both"/>
        <w:rPr>
          <w:sz w:val="21"/>
          <w:szCs w:val="21"/>
        </w:rPr>
      </w:pPr>
      <w:r>
        <w:rPr>
          <w:rFonts w:hint="eastAsia"/>
          <w:sz w:val="21"/>
          <w:szCs w:val="21"/>
        </w:rPr>
        <w:t>招标文件的澄清将在规定时间前以电子文档形式上传于“</w:t>
      </w:r>
      <w:r>
        <w:rPr>
          <w:rFonts w:hint="eastAsia"/>
        </w:rPr>
        <w:t>嘉兴市公共资源交易网（海盐）</w:t>
      </w:r>
      <w:r>
        <w:rPr>
          <w:rFonts w:hint="eastAsia"/>
          <w:sz w:val="21"/>
          <w:szCs w:val="21"/>
        </w:rPr>
        <w:t>网（</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）”，所有投标人自行下载。</w:t>
      </w:r>
    </w:p>
    <w:p>
      <w:pPr>
        <w:pStyle w:val="62"/>
        <w:numPr>
          <w:ilvl w:val="2"/>
          <w:numId w:val="5"/>
        </w:numPr>
        <w:tabs>
          <w:tab w:val="left" w:pos="1559"/>
        </w:tabs>
        <w:spacing w:line="360" w:lineRule="auto"/>
        <w:ind w:right="624" w:firstLine="420"/>
        <w:jc w:val="both"/>
        <w:rPr>
          <w:sz w:val="21"/>
          <w:szCs w:val="21"/>
        </w:rPr>
      </w:pPr>
      <w:r>
        <w:rPr>
          <w:rFonts w:hint="eastAsia"/>
          <w:sz w:val="21"/>
          <w:szCs w:val="21"/>
        </w:rPr>
        <w:t>在规定的时间前，招标人可以修改招标文件，招标文件的修改将在规定时间前以电子文档形式上传于“</w:t>
      </w:r>
      <w:r>
        <w:rPr>
          <w:rFonts w:hint="eastAsia"/>
        </w:rPr>
        <w:t>嘉兴市公共资源交易网（海盐）</w:t>
      </w: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）”，所有投标人自行下载。招标文件的澄清、补充和修改，一经在“</w:t>
      </w:r>
      <w:r>
        <w:rPr>
          <w:rFonts w:hint="eastAsia"/>
        </w:rPr>
        <w:t>嘉兴市公共资源交易网（海盐）</w:t>
      </w:r>
      <w:r>
        <w:rPr>
          <w:rFonts w:hint="eastAsia"/>
          <w:sz w:val="21"/>
          <w:szCs w:val="21"/>
        </w:rPr>
        <w:t>（</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）”中推送给投标人，即视为所有投标人都已收到该澄清、补充和修改文件。</w:t>
      </w:r>
    </w:p>
    <w:p>
      <w:pPr>
        <w:pStyle w:val="5"/>
        <w:numPr>
          <w:ilvl w:val="0"/>
          <w:numId w:val="5"/>
        </w:numPr>
        <w:tabs>
          <w:tab w:val="left" w:pos="911"/>
        </w:tabs>
        <w:spacing w:line="360" w:lineRule="auto"/>
        <w:rPr>
          <w:b/>
          <w:bCs/>
          <w:sz w:val="21"/>
          <w:szCs w:val="21"/>
        </w:rPr>
      </w:pPr>
      <w:bookmarkStart w:id="29" w:name="3._投标文件"/>
      <w:bookmarkEnd w:id="29"/>
      <w:bookmarkStart w:id="30" w:name="_Toc3398"/>
      <w:r>
        <w:rPr>
          <w:rFonts w:hint="eastAsia"/>
          <w:b/>
          <w:bCs/>
          <w:sz w:val="21"/>
          <w:szCs w:val="21"/>
        </w:rPr>
        <w:t>投标文件</w:t>
      </w:r>
      <w:bookmarkEnd w:id="30"/>
    </w:p>
    <w:p>
      <w:pPr>
        <w:pStyle w:val="7"/>
        <w:numPr>
          <w:ilvl w:val="1"/>
          <w:numId w:val="5"/>
        </w:numPr>
        <w:tabs>
          <w:tab w:val="left" w:pos="980"/>
        </w:tabs>
        <w:spacing w:line="360" w:lineRule="auto"/>
        <w:rPr>
          <w:b/>
          <w:bCs/>
        </w:rPr>
      </w:pPr>
      <w:bookmarkStart w:id="31" w:name="3.1_投标文件的组成"/>
      <w:bookmarkEnd w:id="31"/>
      <w:r>
        <w:rPr>
          <w:rFonts w:hint="eastAsia"/>
          <w:b/>
          <w:bCs/>
          <w:sz w:val="21"/>
          <w:szCs w:val="21"/>
        </w:rPr>
        <w:t>投标文件的组成</w:t>
      </w:r>
    </w:p>
    <w:p>
      <w:pPr>
        <w:pStyle w:val="62"/>
        <w:numPr>
          <w:ilvl w:val="2"/>
          <w:numId w:val="5"/>
        </w:numPr>
        <w:tabs>
          <w:tab w:val="left" w:pos="1453"/>
        </w:tabs>
        <w:spacing w:line="360" w:lineRule="auto"/>
        <w:ind w:left="1356"/>
        <w:rPr>
          <w:sz w:val="21"/>
        </w:rPr>
      </w:pPr>
      <w:r>
        <w:rPr>
          <w:rFonts w:hint="eastAsia"/>
          <w:sz w:val="21"/>
          <w:szCs w:val="21"/>
        </w:rPr>
        <w:t>投标文件包括：</w:t>
      </w:r>
      <w:r>
        <w:rPr>
          <w:rFonts w:hint="eastAsia"/>
          <w:sz w:val="21"/>
          <w:szCs w:val="21"/>
          <w:u w:val="single"/>
        </w:rPr>
        <w:t>商务标部分；资信技术标部分；投标文件电子版</w:t>
      </w:r>
      <w:r>
        <w:rPr>
          <w:rFonts w:hint="eastAsia"/>
          <w:sz w:val="21"/>
          <w:szCs w:val="21"/>
          <w:highlight w:val="cyan"/>
          <w:u w:val="single"/>
        </w:rPr>
        <w:t>（U盘）。</w:t>
      </w:r>
    </w:p>
    <w:p>
      <w:pPr>
        <w:pStyle w:val="62"/>
        <w:numPr>
          <w:ilvl w:val="2"/>
          <w:numId w:val="5"/>
        </w:numPr>
        <w:tabs>
          <w:tab w:val="left" w:pos="1453"/>
        </w:tabs>
        <w:spacing w:line="360" w:lineRule="auto"/>
        <w:ind w:left="1356"/>
        <w:rPr>
          <w:sz w:val="21"/>
        </w:rPr>
      </w:pPr>
      <w:r>
        <w:rPr>
          <w:rFonts w:hint="eastAsia"/>
          <w:sz w:val="21"/>
          <w:szCs w:val="21"/>
        </w:rPr>
        <w:t>商务标的组成</w:t>
      </w:r>
      <w:r>
        <w:rPr>
          <w:rFonts w:hint="eastAsia"/>
          <w:sz w:val="21"/>
        </w:rPr>
        <w:t>：</w:t>
      </w:r>
    </w:p>
    <w:p>
      <w:pPr>
        <w:pStyle w:val="62"/>
        <w:numPr>
          <w:ilvl w:val="0"/>
          <w:numId w:val="9"/>
        </w:numPr>
        <w:tabs>
          <w:tab w:val="left" w:pos="1505"/>
        </w:tabs>
        <w:spacing w:line="360" w:lineRule="auto"/>
        <w:rPr>
          <w:sz w:val="21"/>
        </w:rPr>
      </w:pPr>
      <w:r>
        <w:rPr>
          <w:rFonts w:hint="eastAsia"/>
          <w:sz w:val="21"/>
          <w:szCs w:val="21"/>
        </w:rPr>
        <w:t>投标函</w:t>
      </w:r>
      <w:r>
        <w:rPr>
          <w:rFonts w:hint="eastAsia"/>
          <w:sz w:val="21"/>
        </w:rPr>
        <w:t>。</w:t>
      </w:r>
    </w:p>
    <w:p>
      <w:pPr>
        <w:pStyle w:val="62"/>
        <w:numPr>
          <w:ilvl w:val="0"/>
          <w:numId w:val="9"/>
        </w:numPr>
        <w:tabs>
          <w:tab w:val="left" w:pos="1505"/>
        </w:tabs>
        <w:spacing w:line="360" w:lineRule="auto"/>
        <w:rPr>
          <w:sz w:val="21"/>
          <w:szCs w:val="21"/>
        </w:rPr>
      </w:pPr>
      <w:r>
        <w:rPr>
          <w:rFonts w:hint="eastAsia"/>
          <w:sz w:val="21"/>
          <w:szCs w:val="21"/>
        </w:rPr>
        <w:t>法定代表人资格证明书或法定代表人授权委托书。</w:t>
      </w:r>
    </w:p>
    <w:p>
      <w:pPr>
        <w:pStyle w:val="62"/>
        <w:numPr>
          <w:ilvl w:val="0"/>
          <w:numId w:val="9"/>
        </w:numPr>
        <w:tabs>
          <w:tab w:val="left" w:pos="1505"/>
        </w:tabs>
        <w:spacing w:line="360" w:lineRule="auto"/>
        <w:rPr>
          <w:sz w:val="21"/>
          <w:szCs w:val="21"/>
        </w:rPr>
      </w:pPr>
      <w:r>
        <w:rPr>
          <w:rFonts w:hint="eastAsia"/>
          <w:sz w:val="21"/>
          <w:szCs w:val="21"/>
        </w:rPr>
        <w:t>投标保证金</w:t>
      </w:r>
    </w:p>
    <w:p>
      <w:pPr>
        <w:pStyle w:val="62"/>
        <w:numPr>
          <w:ilvl w:val="0"/>
          <w:numId w:val="9"/>
        </w:numPr>
        <w:tabs>
          <w:tab w:val="left" w:pos="1505"/>
        </w:tabs>
        <w:spacing w:line="360" w:lineRule="auto"/>
        <w:rPr>
          <w:sz w:val="21"/>
          <w:szCs w:val="21"/>
        </w:rPr>
      </w:pPr>
      <w:r>
        <w:rPr>
          <w:rFonts w:hint="eastAsia"/>
          <w:sz w:val="21"/>
          <w:szCs w:val="21"/>
        </w:rPr>
        <w:t>投标报价明细表</w:t>
      </w:r>
    </w:p>
    <w:p>
      <w:pPr>
        <w:pStyle w:val="62"/>
        <w:numPr>
          <w:ilvl w:val="0"/>
          <w:numId w:val="9"/>
        </w:numPr>
        <w:tabs>
          <w:tab w:val="left" w:pos="1505"/>
        </w:tabs>
        <w:spacing w:line="360" w:lineRule="auto"/>
        <w:rPr>
          <w:sz w:val="21"/>
          <w:szCs w:val="21"/>
        </w:rPr>
      </w:pPr>
      <w:r>
        <w:rPr>
          <w:rFonts w:hint="eastAsia"/>
          <w:sz w:val="21"/>
          <w:szCs w:val="21"/>
        </w:rPr>
        <w:t>招标文件要求或投标人认为需要的其他资料</w:t>
      </w:r>
    </w:p>
    <w:p>
      <w:pPr>
        <w:pStyle w:val="62"/>
        <w:numPr>
          <w:ilvl w:val="2"/>
          <w:numId w:val="5"/>
        </w:numPr>
        <w:tabs>
          <w:tab w:val="left" w:pos="1453"/>
        </w:tabs>
        <w:spacing w:line="360" w:lineRule="auto"/>
        <w:ind w:left="1356"/>
        <w:rPr>
          <w:sz w:val="21"/>
        </w:rPr>
      </w:pPr>
      <w:r>
        <w:rPr>
          <w:rFonts w:hint="eastAsia"/>
          <w:sz w:val="21"/>
          <w:szCs w:val="21"/>
        </w:rPr>
        <w:t>资信技术标的组成</w:t>
      </w:r>
      <w:r>
        <w:rPr>
          <w:rFonts w:hint="eastAsia"/>
          <w:sz w:val="21"/>
        </w:rPr>
        <w:t>：</w:t>
      </w:r>
    </w:p>
    <w:p>
      <w:pPr>
        <w:pStyle w:val="62"/>
        <w:tabs>
          <w:tab w:val="left" w:pos="1505"/>
        </w:tabs>
        <w:spacing w:line="360" w:lineRule="auto"/>
        <w:ind w:left="979" w:firstLine="0"/>
        <w:rPr>
          <w:sz w:val="21"/>
        </w:rPr>
      </w:pPr>
      <w:r>
        <w:rPr>
          <w:rFonts w:hint="eastAsia"/>
          <w:sz w:val="21"/>
        </w:rPr>
        <w:t>（1）</w:t>
      </w:r>
      <w:r>
        <w:rPr>
          <w:rFonts w:hint="eastAsia"/>
          <w:sz w:val="21"/>
          <w:szCs w:val="21"/>
        </w:rPr>
        <w:t>资格审查资料</w:t>
      </w:r>
    </w:p>
    <w:p>
      <w:pPr>
        <w:pStyle w:val="62"/>
        <w:tabs>
          <w:tab w:val="left" w:pos="1505"/>
        </w:tabs>
        <w:spacing w:line="360" w:lineRule="auto"/>
        <w:ind w:left="979" w:firstLine="0"/>
        <w:rPr>
          <w:sz w:val="21"/>
          <w:szCs w:val="21"/>
        </w:rPr>
      </w:pPr>
      <w:r>
        <w:rPr>
          <w:rFonts w:hint="eastAsia"/>
          <w:sz w:val="21"/>
          <w:szCs w:val="21"/>
        </w:rPr>
        <w:t>（2）资信、技术评分资料</w:t>
      </w:r>
    </w:p>
    <w:p>
      <w:pPr>
        <w:pStyle w:val="62"/>
        <w:numPr>
          <w:ilvl w:val="2"/>
          <w:numId w:val="5"/>
        </w:numPr>
        <w:tabs>
          <w:tab w:val="left" w:pos="1453"/>
        </w:tabs>
        <w:spacing w:line="360" w:lineRule="auto"/>
        <w:ind w:left="1356"/>
        <w:rPr>
          <w:sz w:val="21"/>
          <w:highlight w:val="none"/>
        </w:rPr>
      </w:pPr>
      <w:r>
        <w:rPr>
          <w:rFonts w:hint="eastAsia"/>
          <w:sz w:val="21"/>
          <w:szCs w:val="21"/>
        </w:rPr>
        <w:t>投标文件电子版的提交及要求</w:t>
      </w:r>
      <w:r>
        <w:rPr>
          <w:rFonts w:hint="eastAsia"/>
          <w:sz w:val="21"/>
        </w:rPr>
        <w:t>：</w:t>
      </w:r>
    </w:p>
    <w:p>
      <w:pPr>
        <w:pStyle w:val="62"/>
        <w:numPr>
          <w:ilvl w:val="0"/>
          <w:numId w:val="10"/>
        </w:numPr>
        <w:tabs>
          <w:tab w:val="left" w:pos="1486"/>
        </w:tabs>
        <w:spacing w:line="360" w:lineRule="auto"/>
        <w:ind w:right="607" w:firstLine="408"/>
        <w:rPr>
          <w:sz w:val="21"/>
          <w:highlight w:val="none"/>
        </w:rPr>
      </w:pPr>
      <w:r>
        <w:rPr>
          <w:rFonts w:hint="eastAsia"/>
          <w:sz w:val="21"/>
          <w:szCs w:val="21"/>
          <w:highlight w:val="none"/>
        </w:rPr>
        <w:t>投标人</w:t>
      </w:r>
      <w:r>
        <w:rPr>
          <w:rFonts w:hint="eastAsia"/>
          <w:sz w:val="21"/>
          <w:szCs w:val="21"/>
          <w:highlight w:val="cyan"/>
          <w:lang w:val="en-US" w:eastAsia="zh-CN"/>
        </w:rPr>
        <w:t>需</w:t>
      </w:r>
      <w:r>
        <w:rPr>
          <w:rFonts w:hint="eastAsia"/>
          <w:sz w:val="21"/>
          <w:szCs w:val="21"/>
          <w:highlight w:val="cyan"/>
        </w:rPr>
        <w:t>把</w:t>
      </w:r>
      <w:r>
        <w:rPr>
          <w:rFonts w:hint="eastAsia"/>
          <w:sz w:val="21"/>
          <w:szCs w:val="21"/>
          <w:highlight w:val="none"/>
        </w:rPr>
        <w:t>投标文件的内容</w:t>
      </w:r>
      <w:r>
        <w:rPr>
          <w:rFonts w:hint="eastAsia"/>
          <w:sz w:val="21"/>
          <w:szCs w:val="21"/>
          <w:highlight w:val="cyan"/>
        </w:rPr>
        <w:t>刻录在</w:t>
      </w:r>
      <w:r>
        <w:rPr>
          <w:rFonts w:hint="eastAsia" w:cs="宋体"/>
          <w:color w:val="auto"/>
          <w:sz w:val="21"/>
          <w:szCs w:val="21"/>
          <w:highlight w:val="cyan"/>
          <w:lang w:val="en-US" w:eastAsia="zh-CN" w:bidi="ar-SA"/>
        </w:rPr>
        <w:t>U盘</w:t>
      </w:r>
      <w:r>
        <w:rPr>
          <w:rFonts w:hint="eastAsia"/>
          <w:sz w:val="21"/>
          <w:szCs w:val="21"/>
          <w:highlight w:val="cyan"/>
        </w:rPr>
        <w:t>中</w:t>
      </w:r>
      <w:r>
        <w:rPr>
          <w:rFonts w:hint="eastAsia"/>
          <w:sz w:val="21"/>
          <w:szCs w:val="21"/>
          <w:highlight w:val="none"/>
        </w:rPr>
        <w:t>【PDF 格式文档（签字盖章要求同纸质投标文件】</w:t>
      </w:r>
      <w:r>
        <w:rPr>
          <w:rFonts w:hint="eastAsia"/>
          <w:sz w:val="21"/>
          <w:highlight w:val="none"/>
        </w:rPr>
        <w:t>。</w:t>
      </w:r>
    </w:p>
    <w:p>
      <w:pPr>
        <w:pStyle w:val="62"/>
        <w:numPr>
          <w:ilvl w:val="0"/>
          <w:numId w:val="10"/>
        </w:numPr>
        <w:tabs>
          <w:tab w:val="left" w:pos="1486"/>
        </w:tabs>
        <w:spacing w:line="360" w:lineRule="auto"/>
        <w:ind w:right="616" w:firstLine="408"/>
        <w:rPr>
          <w:sz w:val="21"/>
        </w:rPr>
      </w:pPr>
      <w:r>
        <w:rPr>
          <w:rFonts w:hint="eastAsia"/>
          <w:sz w:val="21"/>
          <w:szCs w:val="21"/>
          <w:highlight w:val="none"/>
        </w:rPr>
        <w:t>投标文件电子版</w:t>
      </w:r>
      <w:r>
        <w:rPr>
          <w:rFonts w:hint="eastAsia"/>
          <w:sz w:val="21"/>
          <w:szCs w:val="21"/>
          <w:highlight w:val="cyan"/>
        </w:rPr>
        <w:t>（U盘</w:t>
      </w:r>
      <w:r>
        <w:rPr>
          <w:rFonts w:hint="eastAsia"/>
          <w:sz w:val="21"/>
          <w:szCs w:val="21"/>
          <w:highlight w:val="cyan"/>
          <w:lang w:eastAsia="zh-CN"/>
        </w:rPr>
        <w:t>）</w:t>
      </w:r>
      <w:r>
        <w:rPr>
          <w:rFonts w:hint="eastAsia"/>
          <w:sz w:val="21"/>
          <w:szCs w:val="21"/>
          <w:highlight w:val="none"/>
        </w:rPr>
        <w:t>上应注明投标</w:t>
      </w:r>
      <w:r>
        <w:rPr>
          <w:rFonts w:hint="eastAsia"/>
          <w:sz w:val="21"/>
          <w:szCs w:val="21"/>
        </w:rPr>
        <w:t>人名称、项目名称</w:t>
      </w:r>
      <w:r>
        <w:rPr>
          <w:rFonts w:hint="eastAsia"/>
          <w:sz w:val="21"/>
        </w:rPr>
        <w:t>。</w:t>
      </w:r>
    </w:p>
    <w:p>
      <w:pPr>
        <w:pStyle w:val="62"/>
        <w:numPr>
          <w:ilvl w:val="0"/>
          <w:numId w:val="10"/>
        </w:numPr>
        <w:tabs>
          <w:tab w:val="left" w:pos="1486"/>
        </w:tabs>
        <w:spacing w:line="360" w:lineRule="auto"/>
        <w:ind w:right="620" w:firstLine="408"/>
        <w:rPr>
          <w:sz w:val="21"/>
        </w:rPr>
      </w:pPr>
      <w:r>
        <w:rPr>
          <w:rFonts w:hint="eastAsia"/>
          <w:sz w:val="21"/>
          <w:szCs w:val="21"/>
        </w:rPr>
        <w:t>投标人提交的投标文件电子版的内容应与提交的纸质投标文件的内容一致，如果两者的内容不一致时，以纸质投标文件为准</w:t>
      </w:r>
      <w:r>
        <w:rPr>
          <w:rFonts w:hint="eastAsia"/>
          <w:sz w:val="21"/>
        </w:rPr>
        <w:t>。</w:t>
      </w:r>
    </w:p>
    <w:p>
      <w:pPr>
        <w:pStyle w:val="62"/>
        <w:numPr>
          <w:ilvl w:val="2"/>
          <w:numId w:val="5"/>
        </w:numPr>
        <w:tabs>
          <w:tab w:val="left" w:pos="1477"/>
        </w:tabs>
        <w:spacing w:line="360" w:lineRule="auto"/>
        <w:ind w:right="614" w:firstLine="408"/>
        <w:rPr>
          <w:spacing w:val="-6"/>
          <w:sz w:val="21"/>
        </w:rPr>
      </w:pPr>
      <w:r>
        <w:rPr>
          <w:rFonts w:hint="eastAsia"/>
          <w:sz w:val="21"/>
          <w:szCs w:val="21"/>
        </w:rPr>
        <w:t>投标人须知前附表未要求提交投标保证金的，投标文件不包括本章第 3.1.2（3）目所指的投标保证金</w:t>
      </w:r>
      <w:r>
        <w:rPr>
          <w:rFonts w:hint="eastAsia"/>
          <w:spacing w:val="-6"/>
          <w:sz w:val="21"/>
        </w:rPr>
        <w:t>。</w:t>
      </w:r>
    </w:p>
    <w:p>
      <w:pPr>
        <w:pStyle w:val="7"/>
        <w:numPr>
          <w:ilvl w:val="1"/>
          <w:numId w:val="5"/>
        </w:numPr>
        <w:tabs>
          <w:tab w:val="left" w:pos="980"/>
        </w:tabs>
        <w:spacing w:line="360" w:lineRule="auto"/>
        <w:rPr>
          <w:b/>
          <w:bCs/>
          <w:sz w:val="21"/>
          <w:szCs w:val="21"/>
        </w:rPr>
      </w:pPr>
      <w:bookmarkStart w:id="32" w:name="3.2_投标报价"/>
      <w:bookmarkEnd w:id="32"/>
      <w:r>
        <w:rPr>
          <w:rFonts w:hint="eastAsia"/>
          <w:b/>
          <w:bCs/>
          <w:sz w:val="21"/>
          <w:szCs w:val="21"/>
        </w:rPr>
        <w:t>投标报价</w:t>
      </w:r>
    </w:p>
    <w:p>
      <w:pPr>
        <w:pStyle w:val="62"/>
        <w:numPr>
          <w:ilvl w:val="2"/>
          <w:numId w:val="5"/>
        </w:numPr>
        <w:tabs>
          <w:tab w:val="left" w:pos="1477"/>
        </w:tabs>
        <w:spacing w:line="360" w:lineRule="auto"/>
        <w:ind w:right="614" w:firstLine="408"/>
        <w:rPr>
          <w:sz w:val="21"/>
          <w:szCs w:val="21"/>
        </w:rPr>
      </w:pPr>
      <w:r>
        <w:rPr>
          <w:rFonts w:hint="eastAsia"/>
          <w:sz w:val="21"/>
          <w:szCs w:val="21"/>
        </w:rPr>
        <w:t>各单位投标报价时应根据本招标文件技术标准和要求及其他相关要求进行报价。投标人应在投标文件中标明，本合同拟提供货物和服务的单价和总价。</w:t>
      </w:r>
    </w:p>
    <w:p>
      <w:pPr>
        <w:pStyle w:val="62"/>
        <w:numPr>
          <w:ilvl w:val="2"/>
          <w:numId w:val="5"/>
        </w:numPr>
        <w:tabs>
          <w:tab w:val="left" w:pos="1477"/>
        </w:tabs>
        <w:spacing w:line="360" w:lineRule="auto"/>
        <w:ind w:right="614" w:firstLine="408"/>
        <w:rPr>
          <w:sz w:val="21"/>
          <w:szCs w:val="21"/>
        </w:rPr>
      </w:pPr>
      <w:r>
        <w:rPr>
          <w:rFonts w:hint="eastAsia"/>
          <w:sz w:val="21"/>
          <w:szCs w:val="21"/>
        </w:rPr>
        <w:t>按提供的报价表的内容分项填写。</w:t>
      </w:r>
    </w:p>
    <w:p>
      <w:pPr>
        <w:pStyle w:val="62"/>
        <w:numPr>
          <w:ilvl w:val="2"/>
          <w:numId w:val="5"/>
        </w:numPr>
        <w:tabs>
          <w:tab w:val="left" w:pos="1477"/>
        </w:tabs>
        <w:spacing w:line="360" w:lineRule="auto"/>
        <w:ind w:right="614" w:firstLine="408"/>
        <w:rPr>
          <w:sz w:val="21"/>
          <w:szCs w:val="21"/>
        </w:rPr>
      </w:pPr>
      <w:r>
        <w:rPr>
          <w:rFonts w:hint="eastAsia"/>
          <w:sz w:val="21"/>
          <w:szCs w:val="21"/>
        </w:rPr>
        <w:t>投标人按照要求分项报价，其目的是便于招标人评标，但在任何情况下并不限制招标人以任何条款签订合同的权利。</w:t>
      </w:r>
    </w:p>
    <w:p>
      <w:pPr>
        <w:pStyle w:val="62"/>
        <w:numPr>
          <w:ilvl w:val="2"/>
          <w:numId w:val="5"/>
        </w:numPr>
        <w:tabs>
          <w:tab w:val="left" w:pos="1477"/>
        </w:tabs>
        <w:spacing w:line="360" w:lineRule="auto"/>
        <w:ind w:right="614" w:firstLine="408"/>
        <w:rPr>
          <w:sz w:val="21"/>
          <w:szCs w:val="21"/>
        </w:rPr>
      </w:pPr>
      <w:r>
        <w:rPr>
          <w:rFonts w:hint="eastAsia"/>
          <w:sz w:val="21"/>
          <w:szCs w:val="21"/>
        </w:rPr>
        <w:t>投标价中标明的价格应为履行合同的价格，未经招标人认可，不得以任何理由予以变更。</w:t>
      </w:r>
    </w:p>
    <w:p>
      <w:pPr>
        <w:pStyle w:val="7"/>
        <w:numPr>
          <w:ilvl w:val="1"/>
          <w:numId w:val="5"/>
        </w:numPr>
        <w:tabs>
          <w:tab w:val="left" w:pos="980"/>
        </w:tabs>
        <w:spacing w:line="360" w:lineRule="auto"/>
        <w:rPr>
          <w:b/>
          <w:bCs/>
        </w:rPr>
      </w:pPr>
      <w:bookmarkStart w:id="33" w:name="3.3_投标有效期"/>
      <w:bookmarkEnd w:id="33"/>
      <w:r>
        <w:rPr>
          <w:rFonts w:hint="eastAsia"/>
          <w:b/>
          <w:bCs/>
          <w:sz w:val="21"/>
          <w:szCs w:val="21"/>
        </w:rPr>
        <w:t>投标有效期</w:t>
      </w:r>
    </w:p>
    <w:p>
      <w:pPr>
        <w:pStyle w:val="62"/>
        <w:numPr>
          <w:ilvl w:val="2"/>
          <w:numId w:val="5"/>
        </w:numPr>
        <w:tabs>
          <w:tab w:val="left" w:pos="1477"/>
        </w:tabs>
        <w:spacing w:line="360" w:lineRule="auto"/>
        <w:ind w:right="614" w:firstLine="408"/>
        <w:rPr>
          <w:sz w:val="21"/>
          <w:szCs w:val="21"/>
        </w:rPr>
      </w:pPr>
      <w:r>
        <w:rPr>
          <w:rFonts w:hint="eastAsia"/>
          <w:sz w:val="21"/>
          <w:szCs w:val="21"/>
        </w:rPr>
        <w:t>在投标人须知前附表规定的投标有效期内，投标人不得要求撤销或修改其投标文件。</w:t>
      </w:r>
    </w:p>
    <w:p>
      <w:pPr>
        <w:pStyle w:val="62"/>
        <w:numPr>
          <w:ilvl w:val="2"/>
          <w:numId w:val="5"/>
        </w:numPr>
        <w:tabs>
          <w:tab w:val="left" w:pos="1477"/>
        </w:tabs>
        <w:spacing w:line="360" w:lineRule="auto"/>
        <w:ind w:right="614" w:firstLine="408"/>
        <w:rPr>
          <w:sz w:val="21"/>
          <w:szCs w:val="21"/>
        </w:rPr>
      </w:pPr>
      <w:r>
        <w:rPr>
          <w:rFonts w:hint="eastAsia"/>
          <w:sz w:val="21"/>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7"/>
        <w:numPr>
          <w:ilvl w:val="1"/>
          <w:numId w:val="5"/>
        </w:numPr>
        <w:tabs>
          <w:tab w:val="left" w:pos="980"/>
        </w:tabs>
        <w:spacing w:line="360" w:lineRule="auto"/>
        <w:rPr>
          <w:b/>
          <w:bCs/>
          <w:sz w:val="21"/>
          <w:szCs w:val="21"/>
        </w:rPr>
      </w:pPr>
      <w:bookmarkStart w:id="34" w:name="3.4_投标保证金"/>
      <w:bookmarkEnd w:id="34"/>
      <w:r>
        <w:rPr>
          <w:rFonts w:hint="eastAsia"/>
          <w:b/>
          <w:bCs/>
          <w:sz w:val="21"/>
          <w:szCs w:val="21"/>
        </w:rPr>
        <w:t>投标保证金</w:t>
      </w:r>
    </w:p>
    <w:p>
      <w:pPr>
        <w:pStyle w:val="62"/>
        <w:numPr>
          <w:ilvl w:val="2"/>
          <w:numId w:val="5"/>
        </w:numPr>
        <w:tabs>
          <w:tab w:val="left" w:pos="1477"/>
        </w:tabs>
        <w:spacing w:line="360" w:lineRule="auto"/>
        <w:ind w:right="614" w:firstLine="408"/>
        <w:rPr>
          <w:sz w:val="21"/>
          <w:szCs w:val="21"/>
        </w:rPr>
      </w:pPr>
      <w:r>
        <w:rPr>
          <w:rFonts w:hint="eastAsia"/>
          <w:sz w:val="21"/>
          <w:szCs w:val="21"/>
        </w:rPr>
        <w:t>投标人应按投标人须知前附表规定的时间和金额向海盐县公共资源交易中心提交投标保证金，且必须是从投标人基本账户（指投标人电子注册时填写的基本账户）中支付，采用虚拟子账户或年金进行缴纳，办理保函网址：</w:t>
      </w:r>
      <w:r>
        <w:fldChar w:fldCharType="begin"/>
      </w:r>
      <w:r>
        <w:instrText xml:space="preserve"> HYPERLINK "http://ggzy.haiyan.gov.cn/index/index.html?type=3%2C投标保证金作为其投标的" \h </w:instrText>
      </w:r>
      <w:r>
        <w:fldChar w:fldCharType="separate"/>
      </w:r>
      <w:r>
        <w:rPr>
          <w:rFonts w:hint="eastAsia"/>
          <w:sz w:val="21"/>
          <w:szCs w:val="21"/>
        </w:rPr>
        <w:t>http://ggzy.haiyan.gov.cn/index/index.html?type=3,投标保证金作为其投标的</w:t>
      </w:r>
      <w:r>
        <w:rPr>
          <w:rFonts w:hint="eastAsia"/>
          <w:sz w:val="21"/>
          <w:szCs w:val="21"/>
        </w:rPr>
        <w:fldChar w:fldCharType="end"/>
      </w:r>
      <w:r>
        <w:rPr>
          <w:rFonts w:hint="eastAsia"/>
          <w:sz w:val="21"/>
          <w:szCs w:val="21"/>
        </w:rPr>
        <w:t>一部分。</w:t>
      </w:r>
    </w:p>
    <w:p>
      <w:pPr>
        <w:pStyle w:val="62"/>
        <w:numPr>
          <w:ilvl w:val="2"/>
          <w:numId w:val="5"/>
        </w:numPr>
        <w:tabs>
          <w:tab w:val="left" w:pos="1477"/>
        </w:tabs>
        <w:spacing w:line="360" w:lineRule="auto"/>
        <w:ind w:right="614" w:firstLine="408"/>
        <w:rPr>
          <w:sz w:val="21"/>
          <w:szCs w:val="21"/>
        </w:rPr>
      </w:pPr>
      <w:r>
        <w:rPr>
          <w:rFonts w:hint="eastAsia"/>
          <w:sz w:val="21"/>
          <w:szCs w:val="21"/>
        </w:rPr>
        <w:t>投标人不按本章第 3.4.1 项要求提交投标保证金的，其投标文件不予受理。</w:t>
      </w:r>
    </w:p>
    <w:p>
      <w:pPr>
        <w:pStyle w:val="62"/>
        <w:numPr>
          <w:ilvl w:val="2"/>
          <w:numId w:val="5"/>
        </w:numPr>
        <w:tabs>
          <w:tab w:val="left" w:pos="1477"/>
        </w:tabs>
        <w:spacing w:line="360" w:lineRule="auto"/>
        <w:ind w:right="614" w:firstLine="408"/>
        <w:rPr>
          <w:sz w:val="21"/>
          <w:szCs w:val="21"/>
        </w:rPr>
      </w:pPr>
      <w:r>
        <w:rPr>
          <w:rFonts w:hint="eastAsia"/>
          <w:sz w:val="21"/>
          <w:szCs w:val="21"/>
        </w:rPr>
        <w:t>招标人和中标人书面合同签订后5日内，由招标代理机构在</w:t>
      </w:r>
      <w:r>
        <w:rPr>
          <w:rFonts w:hint="eastAsia"/>
        </w:rPr>
        <w:t>嘉兴市公共资源交易网（海盐）</w:t>
      </w:r>
      <w:r>
        <w:rPr>
          <w:rFonts w:hint="eastAsia"/>
          <w:sz w:val="21"/>
          <w:szCs w:val="21"/>
        </w:rPr>
        <w:t>中完成登记向中标候选人退还投标保证金；其余投标人的投标保证金在中标公示（无异议）结束后5日内网上直接退还。如投标人需要交易中心出具保证金凭证的，在退还投标保证金时，投标人必须向交易中心出具其单位的凭证。交易中心通过网上银行退还到投标人的基本账户，退还投标保证金的同时按银行同期存款利息退还利息，具体按海盐县公共资源交易中心规定执行。</w:t>
      </w:r>
    </w:p>
    <w:p>
      <w:pPr>
        <w:pStyle w:val="62"/>
        <w:numPr>
          <w:ilvl w:val="2"/>
          <w:numId w:val="5"/>
        </w:numPr>
        <w:tabs>
          <w:tab w:val="left" w:pos="1453"/>
        </w:tabs>
        <w:spacing w:line="360" w:lineRule="auto"/>
        <w:ind w:left="1356"/>
        <w:jc w:val="both"/>
        <w:rPr>
          <w:sz w:val="21"/>
        </w:rPr>
      </w:pPr>
      <w:r>
        <w:rPr>
          <w:rFonts w:hint="eastAsia"/>
          <w:sz w:val="21"/>
          <w:szCs w:val="21"/>
        </w:rPr>
        <w:t>有下列情形之一的，投标保证金将不予退还</w:t>
      </w:r>
      <w:r>
        <w:rPr>
          <w:rFonts w:hint="eastAsia"/>
          <w:sz w:val="21"/>
        </w:rPr>
        <w:t>：</w:t>
      </w:r>
    </w:p>
    <w:p>
      <w:pPr>
        <w:pStyle w:val="62"/>
        <w:numPr>
          <w:ilvl w:val="0"/>
          <w:numId w:val="11"/>
        </w:numPr>
        <w:tabs>
          <w:tab w:val="left" w:pos="1505"/>
        </w:tabs>
        <w:spacing w:line="360" w:lineRule="auto"/>
        <w:rPr>
          <w:spacing w:val="-5"/>
          <w:sz w:val="21"/>
        </w:rPr>
      </w:pPr>
      <w:r>
        <w:rPr>
          <w:rFonts w:hint="eastAsia"/>
          <w:sz w:val="21"/>
          <w:szCs w:val="21"/>
        </w:rPr>
        <w:t>投标人在规定的投标有效期内撤销或修改其投标文件</w:t>
      </w:r>
      <w:r>
        <w:rPr>
          <w:rFonts w:hint="eastAsia"/>
          <w:spacing w:val="-5"/>
          <w:sz w:val="21"/>
        </w:rPr>
        <w:t>；</w:t>
      </w:r>
    </w:p>
    <w:p>
      <w:pPr>
        <w:pStyle w:val="62"/>
        <w:numPr>
          <w:ilvl w:val="0"/>
          <w:numId w:val="11"/>
        </w:numPr>
        <w:tabs>
          <w:tab w:val="left" w:pos="1505"/>
        </w:tabs>
        <w:spacing w:line="360" w:lineRule="auto"/>
        <w:ind w:left="402" w:right="583" w:firstLine="577"/>
      </w:pPr>
      <w:r>
        <w:rPr>
          <w:rFonts w:hint="eastAsia"/>
          <w:sz w:val="21"/>
          <w:szCs w:val="21"/>
        </w:rPr>
        <w:t>中标人在收到中标通知书后，无正当理由拒签合同协议书或未按招标文件规定提交履约保证金</w:t>
      </w:r>
      <w:r>
        <w:rPr>
          <w:rFonts w:hint="eastAsia"/>
        </w:rPr>
        <w:t>；</w:t>
      </w:r>
    </w:p>
    <w:p>
      <w:pPr>
        <w:pStyle w:val="62"/>
        <w:numPr>
          <w:ilvl w:val="2"/>
          <w:numId w:val="5"/>
        </w:numPr>
        <w:tabs>
          <w:tab w:val="left" w:pos="1453"/>
        </w:tabs>
        <w:spacing w:line="360" w:lineRule="auto"/>
        <w:ind w:left="402" w:right="764" w:firstLine="481"/>
      </w:pPr>
      <w:r>
        <w:rPr>
          <w:rFonts w:hint="eastAsia"/>
          <w:sz w:val="21"/>
          <w:szCs w:val="21"/>
        </w:rPr>
        <w:t>依法必须进行招标的项目，中标人无正当理由放弃中标的，取消其中标资格，且投标保证金不予退还，同时由行政监督部门列入投标企业不良行为记录并予以公示</w:t>
      </w:r>
      <w:r>
        <w:rPr>
          <w:rFonts w:hint="eastAsia"/>
        </w:rPr>
        <w:t>。</w:t>
      </w:r>
    </w:p>
    <w:p>
      <w:pPr>
        <w:pStyle w:val="7"/>
        <w:numPr>
          <w:ilvl w:val="1"/>
          <w:numId w:val="5"/>
        </w:numPr>
        <w:tabs>
          <w:tab w:val="left" w:pos="980"/>
        </w:tabs>
        <w:spacing w:line="360" w:lineRule="auto"/>
        <w:rPr>
          <w:b/>
          <w:bCs/>
          <w:sz w:val="21"/>
          <w:szCs w:val="21"/>
        </w:rPr>
      </w:pPr>
      <w:bookmarkStart w:id="35" w:name="3.5_资格审查资料"/>
      <w:bookmarkEnd w:id="35"/>
      <w:r>
        <w:rPr>
          <w:rFonts w:hint="eastAsia"/>
          <w:b/>
          <w:bCs/>
          <w:sz w:val="21"/>
          <w:szCs w:val="21"/>
        </w:rPr>
        <w:t>资格审查资料</w:t>
      </w:r>
    </w:p>
    <w:p>
      <w:pPr>
        <w:pStyle w:val="12"/>
        <w:spacing w:line="360" w:lineRule="auto"/>
        <w:ind w:left="980"/>
      </w:pPr>
      <w:r>
        <w:rPr>
          <w:rFonts w:hint="eastAsia"/>
        </w:rPr>
        <w:t>详见资格审查强制性资格条件标准。</w:t>
      </w:r>
    </w:p>
    <w:p>
      <w:pPr>
        <w:pStyle w:val="7"/>
        <w:numPr>
          <w:ilvl w:val="1"/>
          <w:numId w:val="5"/>
        </w:numPr>
        <w:tabs>
          <w:tab w:val="left" w:pos="980"/>
        </w:tabs>
        <w:spacing w:line="360" w:lineRule="auto"/>
        <w:rPr>
          <w:b/>
          <w:bCs/>
          <w:sz w:val="21"/>
          <w:szCs w:val="21"/>
        </w:rPr>
      </w:pPr>
      <w:bookmarkStart w:id="36" w:name="3.6_备选投标方案"/>
      <w:bookmarkEnd w:id="36"/>
      <w:r>
        <w:rPr>
          <w:rFonts w:hint="eastAsia"/>
          <w:b/>
          <w:bCs/>
          <w:sz w:val="21"/>
          <w:szCs w:val="21"/>
        </w:rPr>
        <w:t>备选投标方案</w:t>
      </w:r>
    </w:p>
    <w:p>
      <w:pPr>
        <w:pStyle w:val="12"/>
        <w:spacing w:line="360" w:lineRule="auto"/>
        <w:ind w:left="560" w:right="626" w:firstLine="420"/>
        <w:jc w:val="both"/>
      </w:pPr>
      <w:r>
        <w:rPr>
          <w:rFonts w:hint="eastAsia"/>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numPr>
          <w:ilvl w:val="1"/>
          <w:numId w:val="5"/>
        </w:numPr>
        <w:tabs>
          <w:tab w:val="left" w:pos="980"/>
        </w:tabs>
        <w:spacing w:line="360" w:lineRule="auto"/>
        <w:rPr>
          <w:b/>
          <w:bCs/>
          <w:sz w:val="21"/>
          <w:szCs w:val="21"/>
        </w:rPr>
      </w:pPr>
      <w:bookmarkStart w:id="37" w:name="3.7_投标文件的编制"/>
      <w:bookmarkEnd w:id="37"/>
      <w:r>
        <w:rPr>
          <w:rFonts w:hint="eastAsia"/>
          <w:b/>
          <w:bCs/>
          <w:sz w:val="21"/>
          <w:szCs w:val="21"/>
        </w:rPr>
        <w:t>投标文件的编制</w:t>
      </w:r>
    </w:p>
    <w:p>
      <w:pPr>
        <w:pStyle w:val="62"/>
        <w:numPr>
          <w:ilvl w:val="2"/>
          <w:numId w:val="5"/>
        </w:numPr>
        <w:tabs>
          <w:tab w:val="left" w:pos="1477"/>
        </w:tabs>
        <w:spacing w:line="360" w:lineRule="auto"/>
        <w:ind w:right="614" w:firstLine="408"/>
        <w:rPr>
          <w:sz w:val="21"/>
          <w:szCs w:val="21"/>
        </w:rPr>
      </w:pPr>
      <w:r>
        <w:rPr>
          <w:rFonts w:hint="eastAsia"/>
          <w:sz w:val="21"/>
          <w:szCs w:val="21"/>
        </w:rPr>
        <w:t>投标文件应按第六章“投标文件格式”要求进行编写，如有必要，可以增加附页，作为投标文件的组成部分</w:t>
      </w:r>
    </w:p>
    <w:p>
      <w:pPr>
        <w:pStyle w:val="62"/>
        <w:numPr>
          <w:ilvl w:val="2"/>
          <w:numId w:val="5"/>
        </w:numPr>
        <w:tabs>
          <w:tab w:val="left" w:pos="1477"/>
        </w:tabs>
        <w:spacing w:line="360" w:lineRule="auto"/>
        <w:ind w:right="614" w:firstLine="408"/>
        <w:rPr>
          <w:sz w:val="21"/>
          <w:szCs w:val="21"/>
        </w:rPr>
      </w:pPr>
      <w:r>
        <w:rPr>
          <w:rFonts w:hint="eastAsia"/>
          <w:sz w:val="21"/>
          <w:szCs w:val="21"/>
        </w:rPr>
        <w:t>投标文件应当对招标文件有关工期、投标有效期、质量要求、技术标准和要求、招标范围、合同双方权利义务责任等实质性内容作出响应。</w:t>
      </w:r>
    </w:p>
    <w:p>
      <w:pPr>
        <w:pStyle w:val="62"/>
        <w:numPr>
          <w:ilvl w:val="2"/>
          <w:numId w:val="5"/>
        </w:numPr>
        <w:tabs>
          <w:tab w:val="left" w:pos="1477"/>
        </w:tabs>
        <w:spacing w:line="360" w:lineRule="auto"/>
        <w:ind w:right="614" w:firstLine="408"/>
        <w:rPr>
          <w:sz w:val="21"/>
          <w:szCs w:val="21"/>
        </w:rPr>
      </w:pPr>
      <w:bookmarkStart w:id="38" w:name="3.7.3投标文件应用不褪色的材料书写或打印。投标函等格式要求签字盖章处按格式规"/>
      <w:bookmarkEnd w:id="38"/>
      <w:r>
        <w:rPr>
          <w:rFonts w:hint="eastAsia"/>
          <w:sz w:val="21"/>
          <w:szCs w:val="21"/>
        </w:rPr>
        <w:t>投标文件应用不褪色的材料书写或打印。投标函等格式要求签字盖章处按格式规定签字盖章，对投标文件的澄清、说明和补正应由投标人的法定代表人或其授权的代理人签字或盖单位章，签字或盖章的具体要求见投标人须知前附表。由投标人的法定代表人签字的，应附法定代表人身份证明，由代理人签字的，应附授权委托书，身份证明或授权委托书应符合第六章“投标文件格式”的要求。投标文件应尽量避免涂改、行间插字或删除。如果出现上述情况，改动之处应由投标人的法定代表人或其授权的代理人签字或盖单位章。</w:t>
      </w:r>
    </w:p>
    <w:p>
      <w:pPr>
        <w:pStyle w:val="62"/>
        <w:numPr>
          <w:ilvl w:val="2"/>
          <w:numId w:val="5"/>
        </w:numPr>
        <w:tabs>
          <w:tab w:val="left" w:pos="1477"/>
        </w:tabs>
        <w:spacing w:line="360" w:lineRule="auto"/>
        <w:ind w:right="614" w:firstLine="408"/>
        <w:rPr>
          <w:sz w:val="21"/>
          <w:szCs w:val="21"/>
        </w:rPr>
      </w:pPr>
      <w:r>
        <w:rPr>
          <w:rFonts w:hint="eastAsia"/>
          <w:sz w:val="21"/>
          <w:szCs w:val="21"/>
        </w:rPr>
        <w:t>投标文件要求份数详见投标人须知前附表，中标后投标文件复制份数见投标人须知前附表。正本和副本的封面右上角上应清楚地标记“正本”或“副本”的字样。当副本和正本不一致时，以正本文件为准。</w:t>
      </w:r>
    </w:p>
    <w:p>
      <w:pPr>
        <w:pStyle w:val="62"/>
        <w:numPr>
          <w:ilvl w:val="2"/>
          <w:numId w:val="5"/>
        </w:numPr>
        <w:tabs>
          <w:tab w:val="left" w:pos="1477"/>
        </w:tabs>
        <w:spacing w:line="360" w:lineRule="auto"/>
        <w:ind w:right="614" w:firstLine="408"/>
        <w:rPr>
          <w:sz w:val="21"/>
          <w:szCs w:val="21"/>
        </w:rPr>
      </w:pPr>
      <w:r>
        <w:rPr>
          <w:rFonts w:hint="eastAsia"/>
          <w:sz w:val="21"/>
          <w:szCs w:val="21"/>
        </w:rPr>
        <w:t>投标文件要求份数详见投标人须知前附表，中标后投标文件复制份数见投标人须知前附表。</w:t>
      </w:r>
    </w:p>
    <w:p>
      <w:pPr>
        <w:pStyle w:val="62"/>
        <w:numPr>
          <w:ilvl w:val="2"/>
          <w:numId w:val="5"/>
        </w:numPr>
        <w:tabs>
          <w:tab w:val="left" w:pos="1477"/>
        </w:tabs>
        <w:spacing w:line="360" w:lineRule="auto"/>
        <w:ind w:right="614" w:firstLine="408"/>
        <w:rPr>
          <w:sz w:val="21"/>
          <w:szCs w:val="21"/>
        </w:rPr>
      </w:pPr>
      <w:r>
        <w:rPr>
          <w:rFonts w:hint="eastAsia"/>
          <w:sz w:val="21"/>
          <w:szCs w:val="21"/>
        </w:rPr>
        <w:t>纸质投标文件应装订成册，不得采用活页夹，并编制目录和页码，具体装订要求见投标人须</w:t>
      </w:r>
    </w:p>
    <w:p>
      <w:pPr>
        <w:pStyle w:val="62"/>
        <w:numPr>
          <w:ilvl w:val="2"/>
          <w:numId w:val="5"/>
        </w:numPr>
        <w:tabs>
          <w:tab w:val="left" w:pos="1477"/>
        </w:tabs>
        <w:spacing w:line="360" w:lineRule="auto"/>
        <w:ind w:right="614" w:firstLine="408"/>
        <w:rPr>
          <w:sz w:val="21"/>
        </w:rPr>
      </w:pPr>
      <w:r>
        <w:rPr>
          <w:rFonts w:hint="eastAsia"/>
          <w:sz w:val="21"/>
          <w:szCs w:val="21"/>
        </w:rPr>
        <w:t>知前附表规定。</w:t>
      </w:r>
    </w:p>
    <w:p>
      <w:pPr>
        <w:pStyle w:val="5"/>
        <w:numPr>
          <w:ilvl w:val="0"/>
          <w:numId w:val="5"/>
        </w:numPr>
        <w:tabs>
          <w:tab w:val="left" w:pos="911"/>
        </w:tabs>
        <w:spacing w:line="360" w:lineRule="auto"/>
        <w:rPr>
          <w:b/>
          <w:bCs/>
          <w:sz w:val="21"/>
          <w:szCs w:val="21"/>
        </w:rPr>
      </w:pPr>
      <w:bookmarkStart w:id="39" w:name="4._投标"/>
      <w:bookmarkEnd w:id="39"/>
      <w:bookmarkStart w:id="40" w:name="_Toc327"/>
      <w:r>
        <w:rPr>
          <w:rFonts w:hint="eastAsia"/>
          <w:b/>
          <w:bCs/>
          <w:sz w:val="21"/>
          <w:szCs w:val="21"/>
        </w:rPr>
        <w:t>投标</w:t>
      </w:r>
      <w:bookmarkEnd w:id="40"/>
    </w:p>
    <w:p>
      <w:pPr>
        <w:pStyle w:val="7"/>
        <w:numPr>
          <w:ilvl w:val="1"/>
          <w:numId w:val="5"/>
        </w:numPr>
        <w:tabs>
          <w:tab w:val="left" w:pos="980"/>
        </w:tabs>
        <w:spacing w:line="360" w:lineRule="auto"/>
        <w:rPr>
          <w:b/>
          <w:bCs/>
          <w:sz w:val="21"/>
          <w:szCs w:val="21"/>
        </w:rPr>
      </w:pPr>
      <w:bookmarkStart w:id="41" w:name="4.1_投标文件的密封和标记"/>
      <w:bookmarkEnd w:id="41"/>
      <w:r>
        <w:rPr>
          <w:rFonts w:hint="eastAsia"/>
          <w:b/>
          <w:bCs/>
          <w:sz w:val="21"/>
          <w:szCs w:val="21"/>
        </w:rPr>
        <w:t>投标文件的密封和标记</w:t>
      </w:r>
    </w:p>
    <w:p>
      <w:pPr>
        <w:pStyle w:val="62"/>
        <w:numPr>
          <w:ilvl w:val="2"/>
          <w:numId w:val="5"/>
        </w:numPr>
        <w:tabs>
          <w:tab w:val="left" w:pos="1477"/>
        </w:tabs>
        <w:spacing w:line="360" w:lineRule="auto"/>
        <w:ind w:right="614" w:firstLine="408"/>
        <w:rPr>
          <w:sz w:val="21"/>
          <w:szCs w:val="21"/>
        </w:rPr>
      </w:pPr>
      <w:r>
        <w:rPr>
          <w:rFonts w:hint="eastAsia"/>
          <w:sz w:val="21"/>
          <w:szCs w:val="21"/>
        </w:rPr>
        <w:t>投标人应将投标文件按规定密封，并注明招标项目（标段）名称、投标人名称及标书内容（名 称）。密封袋上加盖投标人公章和法定代表人（或委托</w:t>
      </w:r>
      <w:bookmarkStart w:id="192" w:name="_GoBack"/>
      <w:bookmarkEnd w:id="192"/>
      <w:r>
        <w:rPr>
          <w:rFonts w:hint="eastAsia"/>
          <w:sz w:val="21"/>
          <w:szCs w:val="21"/>
        </w:rPr>
        <w:t>代理人）印章或签字。</w:t>
      </w:r>
    </w:p>
    <w:p>
      <w:pPr>
        <w:pStyle w:val="62"/>
        <w:numPr>
          <w:ilvl w:val="2"/>
          <w:numId w:val="5"/>
        </w:numPr>
        <w:tabs>
          <w:tab w:val="left" w:pos="1477"/>
        </w:tabs>
        <w:spacing w:line="360" w:lineRule="auto"/>
        <w:ind w:right="614" w:firstLine="408"/>
        <w:rPr>
          <w:sz w:val="21"/>
        </w:rPr>
      </w:pPr>
      <w:r>
        <w:rPr>
          <w:rFonts w:hint="eastAsia"/>
          <w:sz w:val="21"/>
          <w:szCs w:val="21"/>
        </w:rPr>
        <w:t>投标文件的密封及装订要求</w:t>
      </w:r>
      <w:r>
        <w:rPr>
          <w:rFonts w:hint="eastAsia"/>
          <w:sz w:val="21"/>
        </w:rPr>
        <w:t>：</w:t>
      </w:r>
    </w:p>
    <w:p>
      <w:pPr>
        <w:pStyle w:val="62"/>
        <w:tabs>
          <w:tab w:val="left" w:pos="1453"/>
        </w:tabs>
        <w:spacing w:line="360" w:lineRule="auto"/>
        <w:ind w:left="399" w:leftChars="190" w:right="592" w:firstLineChars="200"/>
        <w:jc w:val="both"/>
        <w:rPr>
          <w:b/>
          <w:bCs/>
          <w:sz w:val="21"/>
        </w:rPr>
      </w:pPr>
      <w:r>
        <w:rPr>
          <w:rFonts w:hint="eastAsia"/>
          <w:b/>
          <w:bCs/>
          <w:sz w:val="21"/>
        </w:rPr>
        <w:t>（1）</w:t>
      </w:r>
      <w:r>
        <w:rPr>
          <w:rFonts w:hint="eastAsia"/>
          <w:b/>
          <w:bCs/>
          <w:sz w:val="21"/>
          <w:szCs w:val="21"/>
        </w:rPr>
        <w:t>投标文件中的商务标文件、资信技术标文件、投标文件电子版</w:t>
      </w:r>
      <w:r>
        <w:rPr>
          <w:rFonts w:hint="eastAsia"/>
          <w:b/>
          <w:bCs/>
          <w:sz w:val="21"/>
          <w:szCs w:val="21"/>
          <w:highlight w:val="cyan"/>
        </w:rPr>
        <w:t>（U盘）</w:t>
      </w:r>
      <w:r>
        <w:rPr>
          <w:rFonts w:hint="eastAsia"/>
          <w:b/>
          <w:bCs/>
          <w:sz w:val="21"/>
          <w:szCs w:val="21"/>
        </w:rPr>
        <w:t>应分别密封包装在3个密封袋中，在密封袋上相应注明“商务标文件”、“资信技术标文件”、“投标文件电子版（U盘）”，并分别注明项目名称、投标人名称</w:t>
      </w:r>
      <w:r>
        <w:rPr>
          <w:rFonts w:hint="eastAsia"/>
          <w:b/>
          <w:bCs/>
          <w:sz w:val="21"/>
        </w:rPr>
        <w:t>。</w:t>
      </w:r>
    </w:p>
    <w:p>
      <w:pPr>
        <w:pStyle w:val="62"/>
        <w:tabs>
          <w:tab w:val="left" w:pos="1506"/>
        </w:tabs>
        <w:spacing w:line="360" w:lineRule="auto"/>
        <w:ind w:left="0" w:firstLine="840" w:firstLineChars="400"/>
        <w:rPr>
          <w:sz w:val="21"/>
        </w:rPr>
      </w:pPr>
      <w:r>
        <w:rPr>
          <w:rFonts w:hint="eastAsia"/>
          <w:sz w:val="21"/>
        </w:rPr>
        <w:t>（2）</w:t>
      </w:r>
      <w:r>
        <w:rPr>
          <w:rFonts w:hint="eastAsia"/>
          <w:sz w:val="21"/>
          <w:szCs w:val="21"/>
        </w:rPr>
        <w:t>所有密封袋的封口处加盖投标人公章</w:t>
      </w:r>
      <w:r>
        <w:rPr>
          <w:rFonts w:hint="eastAsia"/>
          <w:sz w:val="21"/>
        </w:rPr>
        <w:t>。</w:t>
      </w:r>
    </w:p>
    <w:p>
      <w:pPr>
        <w:pStyle w:val="62"/>
        <w:numPr>
          <w:ilvl w:val="2"/>
          <w:numId w:val="5"/>
        </w:numPr>
        <w:tabs>
          <w:tab w:val="left" w:pos="1506"/>
        </w:tabs>
        <w:spacing w:line="360" w:lineRule="auto"/>
        <w:ind w:left="1409" w:hanging="526"/>
        <w:rPr>
          <w:sz w:val="21"/>
        </w:rPr>
      </w:pPr>
      <w:r>
        <w:rPr>
          <w:rFonts w:hint="eastAsia"/>
          <w:sz w:val="21"/>
          <w:szCs w:val="21"/>
        </w:rPr>
        <w:t>未按本章第4.1.1项或第4.1.2项要求密封和加写标记的投标文件，招标人不予受理</w:t>
      </w:r>
      <w:r>
        <w:rPr>
          <w:rFonts w:hint="eastAsia"/>
          <w:w w:val="95"/>
          <w:sz w:val="21"/>
        </w:rPr>
        <w:t>。</w:t>
      </w:r>
    </w:p>
    <w:p>
      <w:pPr>
        <w:pStyle w:val="7"/>
        <w:numPr>
          <w:ilvl w:val="1"/>
          <w:numId w:val="5"/>
        </w:numPr>
        <w:tabs>
          <w:tab w:val="left" w:pos="980"/>
        </w:tabs>
        <w:spacing w:line="360" w:lineRule="auto"/>
        <w:rPr>
          <w:b/>
          <w:bCs/>
          <w:sz w:val="21"/>
          <w:szCs w:val="21"/>
        </w:rPr>
      </w:pPr>
      <w:bookmarkStart w:id="42" w:name="4.2_投标文件的递交"/>
      <w:bookmarkEnd w:id="42"/>
      <w:r>
        <w:rPr>
          <w:rFonts w:hint="eastAsia"/>
          <w:b/>
          <w:bCs/>
          <w:sz w:val="21"/>
          <w:szCs w:val="21"/>
        </w:rPr>
        <w:t>投标文件的递交</w:t>
      </w:r>
    </w:p>
    <w:p>
      <w:pPr>
        <w:pStyle w:val="62"/>
        <w:numPr>
          <w:ilvl w:val="2"/>
          <w:numId w:val="5"/>
        </w:numPr>
        <w:tabs>
          <w:tab w:val="left" w:pos="1477"/>
        </w:tabs>
        <w:spacing w:line="360" w:lineRule="auto"/>
        <w:ind w:right="614" w:firstLine="408"/>
        <w:rPr>
          <w:sz w:val="21"/>
          <w:szCs w:val="21"/>
        </w:rPr>
      </w:pPr>
      <w:r>
        <w:rPr>
          <w:rFonts w:hint="eastAsia"/>
          <w:sz w:val="21"/>
          <w:szCs w:val="21"/>
        </w:rPr>
        <w:t>投标人应在前附表第1.11款规定的投标截止时间前现场递交。</w:t>
      </w:r>
    </w:p>
    <w:p>
      <w:pPr>
        <w:pStyle w:val="62"/>
        <w:numPr>
          <w:ilvl w:val="2"/>
          <w:numId w:val="5"/>
        </w:numPr>
        <w:tabs>
          <w:tab w:val="left" w:pos="1477"/>
        </w:tabs>
        <w:spacing w:line="360" w:lineRule="auto"/>
        <w:ind w:right="614" w:firstLine="408"/>
        <w:rPr>
          <w:sz w:val="21"/>
          <w:szCs w:val="21"/>
        </w:rPr>
      </w:pPr>
      <w:r>
        <w:rPr>
          <w:rFonts w:hint="eastAsia"/>
          <w:sz w:val="21"/>
          <w:szCs w:val="21"/>
        </w:rPr>
        <w:t>投标人递交投标文件的地点：见投标人须知前附表。</w:t>
      </w:r>
    </w:p>
    <w:p>
      <w:pPr>
        <w:pStyle w:val="62"/>
        <w:numPr>
          <w:ilvl w:val="2"/>
          <w:numId w:val="5"/>
        </w:numPr>
        <w:tabs>
          <w:tab w:val="left" w:pos="1477"/>
        </w:tabs>
        <w:spacing w:line="360" w:lineRule="auto"/>
        <w:ind w:right="614" w:firstLine="408"/>
        <w:rPr>
          <w:sz w:val="21"/>
          <w:szCs w:val="21"/>
        </w:rPr>
      </w:pPr>
      <w:r>
        <w:rPr>
          <w:rFonts w:hint="eastAsia"/>
          <w:sz w:val="21"/>
          <w:szCs w:val="21"/>
        </w:rPr>
        <w:t>除投标人须知前附表另有规定外，投标人所递交的投标文件不予退还。</w:t>
      </w:r>
    </w:p>
    <w:p>
      <w:pPr>
        <w:pStyle w:val="62"/>
        <w:numPr>
          <w:ilvl w:val="2"/>
          <w:numId w:val="5"/>
        </w:numPr>
        <w:tabs>
          <w:tab w:val="left" w:pos="1477"/>
        </w:tabs>
        <w:spacing w:line="360" w:lineRule="auto"/>
        <w:ind w:right="614" w:firstLine="408"/>
        <w:rPr>
          <w:sz w:val="21"/>
          <w:szCs w:val="21"/>
        </w:rPr>
      </w:pPr>
      <w:r>
        <w:rPr>
          <w:rFonts w:hint="eastAsia"/>
          <w:sz w:val="21"/>
          <w:szCs w:val="21"/>
        </w:rPr>
        <w:t>逾期送达的或者未送达指定地点的或未同时满足投标人须知前附表要求的投标文件，招标人不予受理。</w:t>
      </w:r>
    </w:p>
    <w:p>
      <w:pPr>
        <w:pStyle w:val="7"/>
        <w:numPr>
          <w:ilvl w:val="1"/>
          <w:numId w:val="5"/>
        </w:numPr>
        <w:tabs>
          <w:tab w:val="left" w:pos="980"/>
        </w:tabs>
        <w:spacing w:line="360" w:lineRule="auto"/>
        <w:rPr>
          <w:b/>
          <w:bCs/>
          <w:sz w:val="21"/>
          <w:szCs w:val="21"/>
        </w:rPr>
      </w:pPr>
      <w:bookmarkStart w:id="43" w:name="4.3_投标文件的修改与撤回"/>
      <w:bookmarkEnd w:id="43"/>
      <w:r>
        <w:rPr>
          <w:rFonts w:hint="eastAsia"/>
          <w:b/>
          <w:bCs/>
          <w:sz w:val="21"/>
          <w:szCs w:val="21"/>
        </w:rPr>
        <w:t>投标文件的修改与撤回</w:t>
      </w:r>
    </w:p>
    <w:p>
      <w:pPr>
        <w:pStyle w:val="62"/>
        <w:numPr>
          <w:ilvl w:val="2"/>
          <w:numId w:val="5"/>
        </w:numPr>
        <w:tabs>
          <w:tab w:val="left" w:pos="1477"/>
        </w:tabs>
        <w:spacing w:line="360" w:lineRule="auto"/>
        <w:ind w:right="614" w:firstLine="408"/>
        <w:rPr>
          <w:sz w:val="21"/>
          <w:szCs w:val="21"/>
        </w:rPr>
      </w:pPr>
      <w:r>
        <w:rPr>
          <w:rFonts w:hint="eastAsia"/>
          <w:sz w:val="21"/>
          <w:szCs w:val="21"/>
        </w:rPr>
        <w:t>投标人在提交投标文件以后，在规定的投标截止时间之前，可以将已上传的投标文件进行撤回或修改投标文件后重新提交。</w:t>
      </w:r>
    </w:p>
    <w:p>
      <w:pPr>
        <w:pStyle w:val="62"/>
        <w:numPr>
          <w:ilvl w:val="2"/>
          <w:numId w:val="5"/>
        </w:numPr>
        <w:tabs>
          <w:tab w:val="left" w:pos="1477"/>
        </w:tabs>
        <w:spacing w:line="360" w:lineRule="auto"/>
        <w:ind w:right="614" w:firstLine="408"/>
        <w:rPr>
          <w:sz w:val="21"/>
          <w:szCs w:val="21"/>
        </w:rPr>
      </w:pPr>
      <w:r>
        <w:rPr>
          <w:rFonts w:hint="eastAsia"/>
          <w:sz w:val="21"/>
          <w:szCs w:val="21"/>
        </w:rPr>
        <w:t>投标人对投标文件的补充、修改，应按本须知有关规定密封、标记和提交，并在密封袋上清楚标明“补充”、“修改”或“撤回”字样。</w:t>
      </w:r>
    </w:p>
    <w:p>
      <w:pPr>
        <w:pStyle w:val="62"/>
        <w:numPr>
          <w:ilvl w:val="2"/>
          <w:numId w:val="5"/>
        </w:numPr>
        <w:tabs>
          <w:tab w:val="left" w:pos="1477"/>
        </w:tabs>
        <w:spacing w:line="360" w:lineRule="auto"/>
        <w:ind w:right="614" w:firstLine="408"/>
        <w:rPr>
          <w:sz w:val="21"/>
        </w:rPr>
      </w:pPr>
      <w:r>
        <w:rPr>
          <w:rFonts w:hint="eastAsia"/>
          <w:sz w:val="21"/>
          <w:szCs w:val="21"/>
        </w:rPr>
        <w:t>在投标截止时间之后，投标人不得补充、修改投标文件</w:t>
      </w:r>
      <w:r>
        <w:rPr>
          <w:rFonts w:hint="eastAsia"/>
          <w:sz w:val="21"/>
        </w:rPr>
        <w:t>。</w:t>
      </w:r>
    </w:p>
    <w:p>
      <w:pPr>
        <w:pStyle w:val="7"/>
        <w:numPr>
          <w:ilvl w:val="1"/>
          <w:numId w:val="5"/>
        </w:numPr>
        <w:tabs>
          <w:tab w:val="left" w:pos="980"/>
        </w:tabs>
        <w:spacing w:line="360" w:lineRule="auto"/>
        <w:rPr>
          <w:b/>
          <w:bCs/>
          <w:sz w:val="21"/>
          <w:szCs w:val="21"/>
        </w:rPr>
      </w:pPr>
      <w:bookmarkStart w:id="44" w:name="4.4_不予接收的投标文件"/>
      <w:bookmarkEnd w:id="44"/>
      <w:r>
        <w:rPr>
          <w:rFonts w:hint="eastAsia"/>
          <w:b/>
          <w:bCs/>
          <w:sz w:val="21"/>
          <w:szCs w:val="21"/>
        </w:rPr>
        <w:t>不予接收的投标文件</w:t>
      </w:r>
    </w:p>
    <w:p>
      <w:pPr>
        <w:pStyle w:val="12"/>
        <w:spacing w:line="360" w:lineRule="auto"/>
        <w:ind w:left="980"/>
      </w:pPr>
      <w:r>
        <w:rPr>
          <w:rFonts w:hint="eastAsia"/>
        </w:rPr>
        <w:t>投标人或投标人的投标文件出现下列情形之一的，招标人将拒绝接收其投标文件，并退还投标人</w:t>
      </w:r>
      <w:r>
        <w:rPr>
          <w:rFonts w:hint="eastAsia"/>
          <w:spacing w:val="-5"/>
        </w:rPr>
        <w:t>：</w:t>
      </w:r>
    </w:p>
    <w:p>
      <w:pPr>
        <w:pStyle w:val="62"/>
        <w:numPr>
          <w:ilvl w:val="0"/>
          <w:numId w:val="12"/>
        </w:numPr>
        <w:tabs>
          <w:tab w:val="left" w:pos="1505"/>
        </w:tabs>
        <w:spacing w:line="360" w:lineRule="auto"/>
        <w:ind w:left="434" w:firstLine="545"/>
        <w:rPr>
          <w:sz w:val="21"/>
        </w:rPr>
      </w:pPr>
      <w:r>
        <w:rPr>
          <w:rFonts w:hint="eastAsia"/>
          <w:sz w:val="21"/>
          <w:szCs w:val="21"/>
        </w:rPr>
        <w:t>投标文件因邮寄过程或运输过程中出现投标文件包封破损、文件丢失、逾期送达的或者未送达指定地点的</w:t>
      </w:r>
      <w:r>
        <w:rPr>
          <w:rFonts w:hint="eastAsia"/>
          <w:sz w:val="21"/>
        </w:rPr>
        <w:t>；</w:t>
      </w:r>
    </w:p>
    <w:p>
      <w:pPr>
        <w:pStyle w:val="62"/>
        <w:numPr>
          <w:ilvl w:val="0"/>
          <w:numId w:val="12"/>
        </w:numPr>
        <w:tabs>
          <w:tab w:val="left" w:pos="1505"/>
        </w:tabs>
        <w:spacing w:line="360" w:lineRule="auto"/>
        <w:rPr>
          <w:sz w:val="21"/>
        </w:rPr>
      </w:pPr>
      <w:r>
        <w:rPr>
          <w:rFonts w:hint="eastAsia"/>
          <w:sz w:val="21"/>
          <w:szCs w:val="21"/>
        </w:rPr>
        <w:t>投标文件未按投标人须知的规定密封和骑缝加盖投标人公章的</w:t>
      </w:r>
      <w:r>
        <w:rPr>
          <w:rFonts w:hint="eastAsia"/>
          <w:sz w:val="21"/>
        </w:rPr>
        <w:t>；</w:t>
      </w:r>
    </w:p>
    <w:p>
      <w:pPr>
        <w:pStyle w:val="5"/>
        <w:numPr>
          <w:ilvl w:val="0"/>
          <w:numId w:val="5"/>
        </w:numPr>
        <w:tabs>
          <w:tab w:val="left" w:pos="911"/>
        </w:tabs>
        <w:spacing w:line="360" w:lineRule="auto"/>
        <w:rPr>
          <w:b/>
          <w:bCs/>
          <w:sz w:val="21"/>
          <w:szCs w:val="21"/>
        </w:rPr>
      </w:pPr>
      <w:bookmarkStart w:id="45" w:name="5._开标"/>
      <w:bookmarkEnd w:id="45"/>
      <w:bookmarkStart w:id="46" w:name="_Toc9243"/>
      <w:r>
        <w:rPr>
          <w:rFonts w:hint="eastAsia"/>
          <w:b/>
          <w:bCs/>
          <w:sz w:val="21"/>
          <w:szCs w:val="21"/>
        </w:rPr>
        <w:t>开标</w:t>
      </w:r>
      <w:bookmarkEnd w:id="46"/>
    </w:p>
    <w:p>
      <w:pPr>
        <w:pStyle w:val="7"/>
        <w:numPr>
          <w:ilvl w:val="1"/>
          <w:numId w:val="5"/>
        </w:numPr>
        <w:tabs>
          <w:tab w:val="left" w:pos="980"/>
        </w:tabs>
        <w:spacing w:line="360" w:lineRule="auto"/>
        <w:rPr>
          <w:b/>
          <w:bCs/>
          <w:sz w:val="21"/>
          <w:szCs w:val="21"/>
        </w:rPr>
      </w:pPr>
      <w:bookmarkStart w:id="47" w:name="5.1_开标时间和地点"/>
      <w:bookmarkEnd w:id="47"/>
      <w:r>
        <w:rPr>
          <w:rFonts w:hint="eastAsia"/>
          <w:b/>
          <w:bCs/>
          <w:sz w:val="21"/>
          <w:szCs w:val="21"/>
        </w:rPr>
        <w:t>开标时间和地点</w:t>
      </w:r>
    </w:p>
    <w:p>
      <w:pPr>
        <w:pStyle w:val="62"/>
        <w:tabs>
          <w:tab w:val="left" w:pos="1453"/>
        </w:tabs>
        <w:spacing w:line="360" w:lineRule="auto"/>
        <w:ind w:left="536" w:right="623" w:firstLine="552"/>
        <w:rPr>
          <w:sz w:val="21"/>
        </w:rPr>
      </w:pPr>
      <w:r>
        <w:rPr>
          <w:rFonts w:hint="eastAsia"/>
          <w:sz w:val="21"/>
          <w:szCs w:val="21"/>
        </w:rPr>
        <w:t>疫情期间为避免人员集聚，投标人不参加现场开标会，开标结果视为投标人默认。开评标结果在全国公共资源交易平台（浙江省公共资源交易服务平台）（浙江政务服务网）</w:t>
      </w:r>
      <w:r>
        <w:rPr>
          <w:sz w:val="21"/>
          <w:szCs w:val="21"/>
        </w:rPr>
        <w:t>http://www.zjpubservice.com</w:t>
      </w:r>
      <w:r>
        <w:rPr>
          <w:rFonts w:hint="eastAsia"/>
          <w:sz w:val="21"/>
          <w:szCs w:val="21"/>
        </w:rPr>
        <w:t>、嘉兴市公共资源交易中心（嘉兴市公共资源交易网（海盐））（</w:t>
      </w:r>
      <w:r>
        <w:rPr>
          <w:sz w:val="21"/>
          <w:szCs w:val="21"/>
        </w:rPr>
        <w:t>http://jxszwsjb.jiaxing.gov.cn/hymain</w:t>
      </w:r>
      <w:r>
        <w:rPr>
          <w:rFonts w:hint="eastAsia"/>
          <w:sz w:val="21"/>
          <w:szCs w:val="21"/>
        </w:rPr>
        <w:t>）上公布或公示，投标人自行查看</w:t>
      </w:r>
      <w:r>
        <w:rPr>
          <w:rFonts w:hint="eastAsia"/>
          <w:sz w:val="21"/>
        </w:rPr>
        <w:t>。</w:t>
      </w:r>
    </w:p>
    <w:p>
      <w:pPr>
        <w:pStyle w:val="62"/>
        <w:numPr>
          <w:ilvl w:val="1"/>
          <w:numId w:val="5"/>
        </w:numPr>
        <w:tabs>
          <w:tab w:val="left" w:pos="1348"/>
        </w:tabs>
        <w:spacing w:line="360" w:lineRule="auto"/>
        <w:ind w:left="1226" w:hanging="368"/>
        <w:rPr>
          <w:b/>
          <w:bCs/>
          <w:sz w:val="21"/>
        </w:rPr>
      </w:pPr>
      <w:r>
        <w:rPr>
          <w:rFonts w:hint="eastAsia"/>
          <w:b/>
          <w:bCs/>
          <w:sz w:val="21"/>
        </w:rPr>
        <w:t>开标程序</w:t>
      </w:r>
    </w:p>
    <w:p>
      <w:pPr>
        <w:pStyle w:val="12"/>
        <w:spacing w:line="360" w:lineRule="auto"/>
        <w:ind w:left="980"/>
      </w:pPr>
      <w:r>
        <w:rPr>
          <w:rFonts w:hint="eastAsia"/>
        </w:rPr>
        <w:t>主持人按下列程序进行开标：</w:t>
      </w:r>
    </w:p>
    <w:p>
      <w:pPr>
        <w:pStyle w:val="62"/>
        <w:numPr>
          <w:ilvl w:val="2"/>
          <w:numId w:val="5"/>
        </w:numPr>
        <w:tabs>
          <w:tab w:val="left" w:pos="1477"/>
        </w:tabs>
        <w:spacing w:line="360" w:lineRule="auto"/>
        <w:ind w:right="614" w:firstLine="408"/>
        <w:rPr>
          <w:sz w:val="21"/>
          <w:szCs w:val="21"/>
        </w:rPr>
      </w:pPr>
      <w:bookmarkStart w:id="48" w:name="6._评标"/>
      <w:bookmarkEnd w:id="48"/>
      <w:bookmarkStart w:id="49" w:name="_Toc22664"/>
      <w:r>
        <w:rPr>
          <w:rFonts w:hint="eastAsia"/>
          <w:sz w:val="21"/>
          <w:szCs w:val="21"/>
        </w:rPr>
        <w:t>开标会议由招标人组织并主持，由行业主管部门现场监督。</w:t>
      </w:r>
    </w:p>
    <w:p>
      <w:pPr>
        <w:pStyle w:val="62"/>
        <w:numPr>
          <w:ilvl w:val="2"/>
          <w:numId w:val="5"/>
        </w:numPr>
        <w:tabs>
          <w:tab w:val="left" w:pos="1477"/>
        </w:tabs>
        <w:spacing w:line="360" w:lineRule="auto"/>
        <w:ind w:right="614" w:firstLine="408"/>
        <w:rPr>
          <w:sz w:val="21"/>
          <w:szCs w:val="21"/>
        </w:rPr>
      </w:pPr>
      <w:r>
        <w:rPr>
          <w:rFonts w:hint="eastAsia"/>
          <w:sz w:val="21"/>
          <w:szCs w:val="21"/>
        </w:rPr>
        <w:t>由招标人进行检查，行业主管部门进行监督。</w:t>
      </w:r>
    </w:p>
    <w:p>
      <w:pPr>
        <w:pStyle w:val="62"/>
        <w:numPr>
          <w:ilvl w:val="2"/>
          <w:numId w:val="5"/>
        </w:numPr>
        <w:tabs>
          <w:tab w:val="left" w:pos="1477"/>
        </w:tabs>
        <w:spacing w:line="360" w:lineRule="auto"/>
        <w:ind w:right="614" w:firstLine="408"/>
        <w:rPr>
          <w:sz w:val="21"/>
          <w:szCs w:val="21"/>
        </w:rPr>
      </w:pPr>
      <w:r>
        <w:rPr>
          <w:rFonts w:hint="eastAsia"/>
          <w:sz w:val="21"/>
          <w:szCs w:val="21"/>
        </w:rPr>
        <w:t>经确认无误后，由工作人员当众拆封。宣读投标人名称、投标价格以及投标文件中的其他主要内容。</w:t>
      </w:r>
    </w:p>
    <w:p>
      <w:pPr>
        <w:pStyle w:val="62"/>
        <w:numPr>
          <w:ilvl w:val="2"/>
          <w:numId w:val="5"/>
        </w:numPr>
        <w:tabs>
          <w:tab w:val="left" w:pos="1477"/>
        </w:tabs>
        <w:spacing w:line="360" w:lineRule="auto"/>
        <w:ind w:right="614" w:firstLine="408"/>
        <w:rPr>
          <w:sz w:val="21"/>
          <w:szCs w:val="21"/>
        </w:rPr>
      </w:pPr>
      <w:r>
        <w:rPr>
          <w:rFonts w:hint="eastAsia"/>
          <w:sz w:val="21"/>
          <w:szCs w:val="21"/>
        </w:rPr>
        <w:t>招标人在投标截止时间前收到的所有投标文件，开标时都应当众拆封、宣读（发生第4.4款情形时除外）。但按规定提交合格的撤回通知的投标文件不予开封，并退给投标人。</w:t>
      </w:r>
    </w:p>
    <w:p>
      <w:pPr>
        <w:pStyle w:val="62"/>
        <w:numPr>
          <w:ilvl w:val="2"/>
          <w:numId w:val="5"/>
        </w:numPr>
        <w:tabs>
          <w:tab w:val="left" w:pos="1477"/>
        </w:tabs>
        <w:spacing w:line="360" w:lineRule="auto"/>
        <w:ind w:right="614" w:firstLine="408"/>
        <w:rPr>
          <w:sz w:val="21"/>
          <w:szCs w:val="21"/>
        </w:rPr>
      </w:pPr>
      <w:r>
        <w:rPr>
          <w:rFonts w:hint="eastAsia"/>
          <w:sz w:val="21"/>
          <w:szCs w:val="21"/>
        </w:rPr>
        <w:t>招标人（招标代理机构）应对开标过程进行记录，开标结果在嘉兴市公共资源交易中心嘉兴市公共资源交易网（海盐））（http://jxszwsjb.jiaxing.gov.cn/hymain）上公示，投标人自行查看。</w:t>
      </w:r>
    </w:p>
    <w:p>
      <w:pPr>
        <w:pStyle w:val="62"/>
        <w:numPr>
          <w:ilvl w:val="2"/>
          <w:numId w:val="5"/>
        </w:numPr>
        <w:tabs>
          <w:tab w:val="left" w:pos="1477"/>
        </w:tabs>
        <w:spacing w:line="360" w:lineRule="auto"/>
        <w:ind w:right="614" w:firstLine="408"/>
        <w:rPr>
          <w:sz w:val="21"/>
          <w:szCs w:val="21"/>
        </w:rPr>
      </w:pPr>
      <w:r>
        <w:rPr>
          <w:rFonts w:hint="eastAsia"/>
          <w:sz w:val="21"/>
          <w:szCs w:val="21"/>
        </w:rPr>
        <w:t>开标结束。</w:t>
      </w:r>
    </w:p>
    <w:p>
      <w:pPr>
        <w:pStyle w:val="5"/>
        <w:numPr>
          <w:ilvl w:val="0"/>
          <w:numId w:val="5"/>
        </w:numPr>
        <w:tabs>
          <w:tab w:val="left" w:pos="911"/>
        </w:tabs>
        <w:spacing w:line="360" w:lineRule="auto"/>
        <w:rPr>
          <w:b/>
          <w:bCs/>
          <w:sz w:val="21"/>
          <w:szCs w:val="21"/>
        </w:rPr>
      </w:pPr>
      <w:r>
        <w:rPr>
          <w:rFonts w:hint="eastAsia"/>
          <w:b/>
          <w:bCs/>
          <w:sz w:val="21"/>
          <w:szCs w:val="21"/>
        </w:rPr>
        <w:t>评标</w:t>
      </w:r>
      <w:bookmarkEnd w:id="49"/>
    </w:p>
    <w:p>
      <w:pPr>
        <w:pStyle w:val="62"/>
        <w:numPr>
          <w:ilvl w:val="1"/>
          <w:numId w:val="5"/>
        </w:numPr>
        <w:tabs>
          <w:tab w:val="left" w:pos="1348"/>
        </w:tabs>
        <w:spacing w:line="360" w:lineRule="auto"/>
        <w:ind w:left="1226" w:hanging="368"/>
        <w:rPr>
          <w:b/>
          <w:bCs/>
          <w:sz w:val="21"/>
        </w:rPr>
      </w:pPr>
      <w:bookmarkStart w:id="50" w:name="6.1_评标委员会"/>
      <w:bookmarkEnd w:id="50"/>
      <w:r>
        <w:rPr>
          <w:rFonts w:hint="eastAsia"/>
          <w:b/>
          <w:bCs/>
          <w:sz w:val="21"/>
        </w:rPr>
        <w:t>评标委员会</w:t>
      </w:r>
    </w:p>
    <w:p>
      <w:pPr>
        <w:pStyle w:val="62"/>
        <w:numPr>
          <w:ilvl w:val="2"/>
          <w:numId w:val="5"/>
        </w:numPr>
        <w:tabs>
          <w:tab w:val="left" w:pos="1506"/>
        </w:tabs>
        <w:spacing w:line="360" w:lineRule="auto"/>
        <w:ind w:right="626" w:firstLine="420"/>
        <w:jc w:val="both"/>
        <w:rPr>
          <w:sz w:val="21"/>
          <w:szCs w:val="21"/>
        </w:rPr>
      </w:pPr>
      <w:r>
        <w:rPr>
          <w:rFonts w:hint="eastAsia"/>
          <w:sz w:val="21"/>
          <w:szCs w:val="21"/>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pStyle w:val="62"/>
        <w:numPr>
          <w:ilvl w:val="2"/>
          <w:numId w:val="5"/>
        </w:numPr>
        <w:tabs>
          <w:tab w:val="left" w:pos="1506"/>
        </w:tabs>
        <w:spacing w:line="360" w:lineRule="auto"/>
        <w:ind w:left="1409" w:hanging="526"/>
        <w:jc w:val="both"/>
        <w:rPr>
          <w:sz w:val="21"/>
          <w:szCs w:val="21"/>
        </w:rPr>
      </w:pPr>
      <w:r>
        <w:rPr>
          <w:rFonts w:hint="eastAsia"/>
          <w:sz w:val="21"/>
          <w:szCs w:val="21"/>
        </w:rPr>
        <w:t>评标委员会成员有下列情形之一的，应当回避：</w:t>
      </w:r>
    </w:p>
    <w:p>
      <w:pPr>
        <w:pStyle w:val="62"/>
        <w:numPr>
          <w:ilvl w:val="0"/>
          <w:numId w:val="13"/>
        </w:numPr>
        <w:tabs>
          <w:tab w:val="left" w:pos="1505"/>
        </w:tabs>
        <w:spacing w:line="360" w:lineRule="auto"/>
        <w:rPr>
          <w:sz w:val="21"/>
          <w:szCs w:val="21"/>
        </w:rPr>
      </w:pPr>
      <w:r>
        <w:rPr>
          <w:rFonts w:hint="eastAsia"/>
          <w:sz w:val="21"/>
          <w:szCs w:val="21"/>
        </w:rPr>
        <w:t>招标人或投标人的主要负责人的近亲属</w:t>
      </w:r>
      <w:r>
        <w:rPr>
          <w:rFonts w:hint="eastAsia"/>
          <w:w w:val="95"/>
          <w:sz w:val="21"/>
          <w:szCs w:val="21"/>
        </w:rPr>
        <w:t>；</w:t>
      </w:r>
    </w:p>
    <w:p>
      <w:pPr>
        <w:pStyle w:val="62"/>
        <w:numPr>
          <w:ilvl w:val="0"/>
          <w:numId w:val="13"/>
        </w:numPr>
        <w:tabs>
          <w:tab w:val="left" w:pos="1505"/>
        </w:tabs>
        <w:spacing w:line="360" w:lineRule="auto"/>
        <w:rPr>
          <w:sz w:val="21"/>
          <w:szCs w:val="21"/>
        </w:rPr>
      </w:pPr>
      <w:r>
        <w:rPr>
          <w:rFonts w:hint="eastAsia"/>
          <w:sz w:val="21"/>
          <w:szCs w:val="21"/>
        </w:rPr>
        <w:t>项目主管部门或者行政监督部门的人员：</w:t>
      </w:r>
    </w:p>
    <w:p>
      <w:pPr>
        <w:pStyle w:val="62"/>
        <w:numPr>
          <w:ilvl w:val="0"/>
          <w:numId w:val="13"/>
        </w:numPr>
        <w:tabs>
          <w:tab w:val="left" w:pos="1505"/>
        </w:tabs>
        <w:spacing w:line="360" w:lineRule="auto"/>
        <w:rPr>
          <w:sz w:val="21"/>
          <w:szCs w:val="21"/>
        </w:rPr>
      </w:pPr>
      <w:r>
        <w:rPr>
          <w:rFonts w:hint="eastAsia"/>
          <w:sz w:val="21"/>
          <w:szCs w:val="21"/>
        </w:rPr>
        <w:t>与投标人有经济利益关系，可能影响对投标公正评审的；</w:t>
      </w:r>
    </w:p>
    <w:p>
      <w:pPr>
        <w:pStyle w:val="62"/>
        <w:numPr>
          <w:ilvl w:val="0"/>
          <w:numId w:val="13"/>
        </w:numPr>
        <w:tabs>
          <w:tab w:val="left" w:pos="1505"/>
        </w:tabs>
        <w:spacing w:line="360" w:lineRule="auto"/>
        <w:rPr>
          <w:sz w:val="21"/>
          <w:szCs w:val="21"/>
        </w:rPr>
      </w:pPr>
      <w:r>
        <w:rPr>
          <w:rFonts w:hint="eastAsia"/>
          <w:sz w:val="21"/>
          <w:szCs w:val="21"/>
        </w:rPr>
        <w:t>曾因在招标、评标以及其他与招标投标有关活动中从事违法行为而受过行政处罚或刑事处罚的。</w:t>
      </w:r>
    </w:p>
    <w:p>
      <w:pPr>
        <w:pStyle w:val="7"/>
        <w:numPr>
          <w:ilvl w:val="1"/>
          <w:numId w:val="5"/>
        </w:numPr>
        <w:tabs>
          <w:tab w:val="left" w:pos="980"/>
        </w:tabs>
        <w:spacing w:line="360" w:lineRule="auto"/>
        <w:rPr>
          <w:b/>
          <w:bCs/>
          <w:sz w:val="21"/>
          <w:szCs w:val="22"/>
        </w:rPr>
      </w:pPr>
      <w:bookmarkStart w:id="51" w:name="6.2_评标原则"/>
      <w:bookmarkEnd w:id="51"/>
      <w:r>
        <w:rPr>
          <w:rFonts w:hint="eastAsia"/>
          <w:b/>
          <w:bCs/>
          <w:sz w:val="21"/>
          <w:szCs w:val="22"/>
        </w:rPr>
        <w:t>评标原则</w:t>
      </w:r>
    </w:p>
    <w:p>
      <w:pPr>
        <w:pStyle w:val="62"/>
        <w:numPr>
          <w:ilvl w:val="2"/>
          <w:numId w:val="5"/>
        </w:numPr>
        <w:tabs>
          <w:tab w:val="left" w:pos="1453"/>
        </w:tabs>
        <w:spacing w:line="360" w:lineRule="auto"/>
        <w:ind w:left="1356"/>
        <w:jc w:val="both"/>
        <w:rPr>
          <w:sz w:val="21"/>
        </w:rPr>
      </w:pPr>
      <w:r>
        <w:rPr>
          <w:rFonts w:hint="eastAsia"/>
          <w:sz w:val="21"/>
          <w:szCs w:val="21"/>
        </w:rPr>
        <w:t>评标活动遵循公平、公正、科学和择优的原则</w:t>
      </w:r>
      <w:r>
        <w:rPr>
          <w:rFonts w:hint="eastAsia"/>
          <w:sz w:val="21"/>
        </w:rPr>
        <w:t>。</w:t>
      </w:r>
    </w:p>
    <w:p>
      <w:pPr>
        <w:pStyle w:val="62"/>
        <w:numPr>
          <w:ilvl w:val="2"/>
          <w:numId w:val="5"/>
        </w:numPr>
        <w:tabs>
          <w:tab w:val="left" w:pos="1453"/>
        </w:tabs>
        <w:spacing w:line="360" w:lineRule="auto"/>
        <w:ind w:right="621" w:firstLine="420"/>
        <w:jc w:val="both"/>
        <w:rPr>
          <w:sz w:val="21"/>
        </w:rPr>
      </w:pPr>
      <w:r>
        <w:rPr>
          <w:rFonts w:hint="eastAsia"/>
          <w:sz w:val="21"/>
          <w:szCs w:val="21"/>
        </w:rPr>
        <w:t>评标委员会按照投标人须知前附表规定的方法和第三章“评标办法”规定的具体方法、评审因素、标准和程序对投标文件进行评审。招标文件没有规定的方法、评审因素和标准，不作为评标依据</w:t>
      </w:r>
      <w:r>
        <w:rPr>
          <w:rFonts w:hint="eastAsia"/>
          <w:sz w:val="21"/>
        </w:rPr>
        <w:t>。</w:t>
      </w:r>
    </w:p>
    <w:p>
      <w:pPr>
        <w:pStyle w:val="7"/>
        <w:numPr>
          <w:ilvl w:val="1"/>
          <w:numId w:val="5"/>
        </w:numPr>
        <w:tabs>
          <w:tab w:val="left" w:pos="980"/>
        </w:tabs>
        <w:spacing w:line="360" w:lineRule="auto"/>
        <w:rPr>
          <w:b/>
          <w:bCs/>
          <w:sz w:val="21"/>
          <w:szCs w:val="22"/>
        </w:rPr>
      </w:pPr>
      <w:bookmarkStart w:id="52" w:name="6.3_评标"/>
      <w:bookmarkEnd w:id="52"/>
      <w:r>
        <w:rPr>
          <w:rFonts w:hint="eastAsia"/>
          <w:b/>
          <w:bCs/>
          <w:sz w:val="21"/>
          <w:szCs w:val="22"/>
        </w:rPr>
        <w:t>评标</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评标委员会推举产生负责人，负责评标委员会成员按招标文件规定进行分工、主持对投标人的询标、相关事项的表决、提请相关评委对评审结果进行复核等事宜。</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评标委员会成员应当熟悉招标项目的条件、目标、评标标准和方法等主要内容。</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评标委员会对投标文件中有疑问部分可以询标，投标人作书面澄清说明时应由投标人法定代表人或委托代理人签字，作为投标文件的组成部分，但不得对投标文件中实质性的内容进行修改。</w:t>
      </w:r>
    </w:p>
    <w:p>
      <w:pPr>
        <w:pStyle w:val="5"/>
        <w:numPr>
          <w:ilvl w:val="0"/>
          <w:numId w:val="5"/>
        </w:numPr>
        <w:tabs>
          <w:tab w:val="left" w:pos="911"/>
        </w:tabs>
        <w:spacing w:line="360" w:lineRule="auto"/>
        <w:rPr>
          <w:b/>
          <w:bCs/>
          <w:sz w:val="21"/>
          <w:szCs w:val="21"/>
        </w:rPr>
      </w:pPr>
      <w:bookmarkStart w:id="53" w:name="7._合同授予"/>
      <w:bookmarkEnd w:id="53"/>
      <w:bookmarkStart w:id="54" w:name="_Toc22581"/>
      <w:r>
        <w:rPr>
          <w:rFonts w:hint="eastAsia"/>
          <w:b/>
          <w:bCs/>
          <w:sz w:val="21"/>
          <w:szCs w:val="21"/>
        </w:rPr>
        <w:t>合同授予</w:t>
      </w:r>
      <w:bookmarkEnd w:id="54"/>
    </w:p>
    <w:p>
      <w:pPr>
        <w:pStyle w:val="7"/>
        <w:numPr>
          <w:ilvl w:val="1"/>
          <w:numId w:val="5"/>
        </w:numPr>
        <w:tabs>
          <w:tab w:val="left" w:pos="980"/>
        </w:tabs>
        <w:spacing w:line="360" w:lineRule="auto"/>
        <w:rPr>
          <w:b/>
          <w:bCs/>
          <w:sz w:val="21"/>
          <w:szCs w:val="22"/>
        </w:rPr>
      </w:pPr>
      <w:bookmarkStart w:id="55" w:name="7.1中标候选人公示和中标人确定"/>
      <w:bookmarkEnd w:id="55"/>
      <w:r>
        <w:rPr>
          <w:rFonts w:hint="eastAsia"/>
          <w:b/>
          <w:bCs/>
          <w:sz w:val="21"/>
          <w:szCs w:val="22"/>
        </w:rPr>
        <w:t>中标候选人公示和中标人确定</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 xml:space="preserve">中标候选人的情况将在全国公共资源交易平台（浙江省公共资源交易服务平台） （浙江政务服 务网 ） </w:t>
      </w:r>
      <w:r>
        <w:fldChar w:fldCharType="begin"/>
      </w:r>
      <w:r>
        <w:instrText xml:space="preserve"> HYPERLINK "http://zjpubservice.zjzwfw.gov.cn/" \h </w:instrText>
      </w:r>
      <w:r>
        <w:fldChar w:fldCharType="separate"/>
      </w:r>
      <w:r>
        <w:rPr>
          <w:rFonts w:hint="eastAsia"/>
          <w:sz w:val="21"/>
          <w:szCs w:val="21"/>
        </w:rPr>
        <w:t>http://zjpubservice.zjzwfw.gov.cn</w:t>
      </w:r>
      <w:r>
        <w:rPr>
          <w:rFonts w:hint="eastAsia"/>
          <w:sz w:val="21"/>
          <w:szCs w:val="21"/>
        </w:rPr>
        <w:fldChar w:fldCharType="end"/>
      </w:r>
      <w:r>
        <w:rPr>
          <w:rFonts w:hint="eastAsia"/>
          <w:sz w:val="21"/>
          <w:szCs w:val="21"/>
        </w:rPr>
        <w:t xml:space="preserve"> 、  海 盐 公 共 资 源 （ 要 素 ） 交 易 信 息 网（</w:t>
      </w:r>
      <w:r>
        <w:fldChar w:fldCharType="begin"/>
      </w:r>
      <w:r>
        <w:instrText xml:space="preserve"> HYPERLINK "http://jxszwsjb.jiaxing.gov.cn/hymain/" \h </w:instrText>
      </w:r>
      <w:r>
        <w:fldChar w:fldCharType="separate"/>
      </w:r>
      <w:r>
        <w:rPr>
          <w:rFonts w:hint="eastAsia"/>
          <w:sz w:val="21"/>
          <w:szCs w:val="21"/>
        </w:rPr>
        <w:t>http://jxszwsjb.jiaxing.gov.cn/hymain/</w:t>
      </w:r>
      <w:r>
        <w:rPr>
          <w:rFonts w:hint="eastAsia"/>
          <w:sz w:val="21"/>
          <w:szCs w:val="21"/>
        </w:rPr>
        <w:fldChar w:fldCharType="end"/>
      </w:r>
      <w:r>
        <w:rPr>
          <w:rFonts w:hint="eastAsia"/>
          <w:sz w:val="21"/>
          <w:szCs w:val="21"/>
        </w:rPr>
        <w:t>）上进行公示，时间为三天。评标委员会推荐的中标候选人数量 见投标人须知前附表。</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有关行政监督部门经核查后发现招标投标过程中确有违反《中华人民共和国招标投标法》和其他有关法律其他有关法律、法规且影响评标结果公正性的，应当责令招标人重新评标或者招标。</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中标候选人公示无异议后，招标人应当在投标有效期截止前，确定排名第一的中标候选人为中标人。</w:t>
      </w:r>
    </w:p>
    <w:p>
      <w:pPr>
        <w:pStyle w:val="62"/>
        <w:numPr>
          <w:ilvl w:val="2"/>
          <w:numId w:val="5"/>
        </w:numPr>
        <w:tabs>
          <w:tab w:val="left" w:pos="1453"/>
        </w:tabs>
        <w:spacing w:line="360" w:lineRule="auto"/>
        <w:ind w:right="621" w:firstLine="420"/>
        <w:jc w:val="both"/>
        <w:rPr>
          <w:b/>
          <w:bCs/>
          <w:sz w:val="21"/>
          <w:szCs w:val="21"/>
        </w:rPr>
      </w:pPr>
      <w:r>
        <w:rPr>
          <w:rFonts w:hint="eastAsia"/>
          <w:sz w:val="21"/>
          <w:szCs w:val="21"/>
        </w:rPr>
        <w:t>招标人不承诺将合同授予报价最低的投标人。招标人在发出中标通知书前，有权依据评标</w:t>
      </w:r>
      <w:r>
        <w:rPr>
          <w:rFonts w:hint="eastAsia"/>
          <w:b/>
          <w:bCs/>
          <w:sz w:val="21"/>
          <w:szCs w:val="21"/>
        </w:rPr>
        <w:t>委员会的评标报告拒绝不合格的投标。</w:t>
      </w:r>
    </w:p>
    <w:p>
      <w:pPr>
        <w:pStyle w:val="7"/>
        <w:numPr>
          <w:ilvl w:val="1"/>
          <w:numId w:val="5"/>
        </w:numPr>
        <w:tabs>
          <w:tab w:val="left" w:pos="980"/>
        </w:tabs>
        <w:spacing w:line="360" w:lineRule="auto"/>
        <w:rPr>
          <w:b/>
          <w:bCs/>
          <w:sz w:val="21"/>
          <w:szCs w:val="22"/>
        </w:rPr>
      </w:pPr>
      <w:bookmarkStart w:id="56" w:name="7.2中标通知"/>
      <w:bookmarkEnd w:id="56"/>
      <w:r>
        <w:rPr>
          <w:rFonts w:hint="eastAsia"/>
          <w:b/>
          <w:bCs/>
          <w:sz w:val="21"/>
          <w:szCs w:val="22"/>
        </w:rPr>
        <w:t>中标通知</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中标人确定后，在投标有效期内，招标人向中标人发出中标通知书，在中标通知书中明确中标价和工期，以书面形式通知中标人。并按有关法律法规、招标文件和中标人的投标文件签订项目合同。</w:t>
      </w:r>
    </w:p>
    <w:p>
      <w:pPr>
        <w:pStyle w:val="62"/>
        <w:numPr>
          <w:ilvl w:val="2"/>
          <w:numId w:val="5"/>
        </w:numPr>
        <w:tabs>
          <w:tab w:val="left" w:pos="1453"/>
        </w:tabs>
        <w:spacing w:line="360" w:lineRule="auto"/>
        <w:ind w:right="621" w:firstLine="420"/>
        <w:jc w:val="both"/>
        <w:rPr>
          <w:sz w:val="21"/>
        </w:rPr>
      </w:pPr>
      <w:r>
        <w:rPr>
          <w:rFonts w:hint="eastAsia"/>
          <w:sz w:val="21"/>
          <w:szCs w:val="21"/>
        </w:rPr>
        <w:t>中标通知书将成为合同的组成部分</w:t>
      </w:r>
      <w:r>
        <w:rPr>
          <w:rFonts w:hint="eastAsia"/>
          <w:sz w:val="21"/>
        </w:rPr>
        <w:t>。</w:t>
      </w:r>
    </w:p>
    <w:p>
      <w:pPr>
        <w:pStyle w:val="7"/>
        <w:numPr>
          <w:ilvl w:val="1"/>
          <w:numId w:val="5"/>
        </w:numPr>
        <w:tabs>
          <w:tab w:val="left" w:pos="980"/>
        </w:tabs>
        <w:spacing w:line="360" w:lineRule="auto"/>
        <w:rPr>
          <w:b/>
          <w:bCs/>
          <w:sz w:val="21"/>
          <w:szCs w:val="22"/>
        </w:rPr>
      </w:pPr>
      <w:bookmarkStart w:id="57" w:name="7.3履约担保"/>
      <w:bookmarkEnd w:id="57"/>
      <w:r>
        <w:rPr>
          <w:rFonts w:hint="eastAsia"/>
          <w:b/>
          <w:bCs/>
          <w:sz w:val="21"/>
          <w:szCs w:val="22"/>
        </w:rPr>
        <w:t>履约担保</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在签订项目合同前，中标人应按前附表规定的金额向招标人提交履约担保。</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中标人不能按本章第 7.3.1 项要求提交履约担保的，视为放弃中标，其投标保证金不予退还， 给招标人造成的损失超过投标保证金数额的，中标人还应当对超过部分予以赔偿。</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中标人提供的履约保证金，由招标人专户存款，专款专用，不得挪用。</w:t>
      </w:r>
    </w:p>
    <w:p>
      <w:pPr>
        <w:pStyle w:val="7"/>
        <w:numPr>
          <w:ilvl w:val="1"/>
          <w:numId w:val="5"/>
        </w:numPr>
        <w:tabs>
          <w:tab w:val="left" w:pos="980"/>
        </w:tabs>
        <w:spacing w:line="360" w:lineRule="auto"/>
        <w:rPr>
          <w:b/>
          <w:bCs/>
          <w:sz w:val="21"/>
          <w:szCs w:val="22"/>
        </w:rPr>
      </w:pPr>
      <w:bookmarkStart w:id="58" w:name="7.4签订合同"/>
      <w:bookmarkEnd w:id="58"/>
      <w:r>
        <w:rPr>
          <w:rFonts w:hint="eastAsia"/>
          <w:b/>
          <w:bCs/>
          <w:sz w:val="21"/>
          <w:szCs w:val="22"/>
        </w:rPr>
        <w:t>签订合同</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招标人和中标人应当自中标通知书发出之日起 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发出中标通知书后，招标人无正当理由拒签合同的，招标人向中标人退还投标保证金；给中标人造成损失的，还应当赔偿损失。</w:t>
      </w:r>
    </w:p>
    <w:p>
      <w:pPr>
        <w:pStyle w:val="62"/>
        <w:numPr>
          <w:ilvl w:val="2"/>
          <w:numId w:val="5"/>
        </w:numPr>
        <w:tabs>
          <w:tab w:val="left" w:pos="1453"/>
        </w:tabs>
        <w:spacing w:line="360" w:lineRule="auto"/>
        <w:ind w:right="621" w:firstLine="420"/>
        <w:jc w:val="both"/>
        <w:rPr>
          <w:sz w:val="21"/>
        </w:rPr>
      </w:pPr>
      <w:r>
        <w:rPr>
          <w:rFonts w:hint="eastAsia"/>
          <w:sz w:val="21"/>
          <w:szCs w:val="21"/>
        </w:rPr>
        <w:t>中标人应当按照合同约定履行义务，不得将中标项目转让（转包）给他人承包人</w:t>
      </w:r>
      <w:r>
        <w:rPr>
          <w:rFonts w:hint="eastAsia"/>
          <w:sz w:val="21"/>
        </w:rPr>
        <w:t>。</w:t>
      </w:r>
    </w:p>
    <w:p>
      <w:pPr>
        <w:pStyle w:val="7"/>
        <w:numPr>
          <w:ilvl w:val="1"/>
          <w:numId w:val="5"/>
        </w:numPr>
        <w:tabs>
          <w:tab w:val="left" w:pos="980"/>
        </w:tabs>
        <w:spacing w:line="360" w:lineRule="auto"/>
        <w:rPr>
          <w:b/>
          <w:bCs/>
          <w:sz w:val="21"/>
          <w:szCs w:val="22"/>
        </w:rPr>
      </w:pPr>
      <w:bookmarkStart w:id="59" w:name="8.1重新招标"/>
      <w:bookmarkEnd w:id="59"/>
      <w:bookmarkStart w:id="60" w:name="8.重新招标和不再招标"/>
      <w:bookmarkEnd w:id="60"/>
      <w:r>
        <w:rPr>
          <w:rFonts w:hint="eastAsia"/>
          <w:b/>
          <w:bCs/>
          <w:sz w:val="21"/>
          <w:szCs w:val="22"/>
        </w:rPr>
        <w:t>重新招标</w:t>
      </w:r>
    </w:p>
    <w:p>
      <w:pPr>
        <w:pStyle w:val="12"/>
        <w:spacing w:line="360" w:lineRule="auto"/>
        <w:ind w:left="980"/>
      </w:pPr>
      <w:r>
        <w:rPr>
          <w:rFonts w:hint="eastAsia"/>
        </w:rPr>
        <w:t>有下列情形之一的，招标人将重新招标：</w:t>
      </w:r>
    </w:p>
    <w:p>
      <w:pPr>
        <w:pStyle w:val="62"/>
        <w:numPr>
          <w:ilvl w:val="2"/>
          <w:numId w:val="5"/>
        </w:numPr>
        <w:tabs>
          <w:tab w:val="left" w:pos="1453"/>
        </w:tabs>
        <w:spacing w:line="360" w:lineRule="auto"/>
        <w:ind w:right="621" w:firstLine="420"/>
        <w:jc w:val="both"/>
        <w:rPr>
          <w:sz w:val="21"/>
          <w:szCs w:val="21"/>
        </w:rPr>
      </w:pPr>
      <w:r>
        <w:rPr>
          <w:rFonts w:hint="eastAsia"/>
          <w:sz w:val="21"/>
          <w:szCs w:val="21"/>
        </w:rPr>
        <w:t>投标截止时间止，投标人少于3个的；</w:t>
      </w:r>
    </w:p>
    <w:p>
      <w:pPr>
        <w:pStyle w:val="62"/>
        <w:numPr>
          <w:ilvl w:val="2"/>
          <w:numId w:val="5"/>
        </w:numPr>
        <w:tabs>
          <w:tab w:val="left" w:pos="1453"/>
        </w:tabs>
        <w:spacing w:line="360" w:lineRule="auto"/>
        <w:ind w:right="621" w:firstLine="420"/>
        <w:jc w:val="both"/>
        <w:rPr>
          <w:sz w:val="21"/>
        </w:rPr>
      </w:pPr>
      <w:r>
        <w:rPr>
          <w:rFonts w:hint="eastAsia"/>
          <w:sz w:val="21"/>
          <w:szCs w:val="21"/>
        </w:rPr>
        <w:t>经评标委员会评审后否决所有投标的</w:t>
      </w:r>
      <w:r>
        <w:rPr>
          <w:rFonts w:hint="eastAsia"/>
          <w:w w:val="95"/>
          <w:sz w:val="21"/>
        </w:rPr>
        <w:t>。</w:t>
      </w:r>
    </w:p>
    <w:p>
      <w:pPr>
        <w:pStyle w:val="7"/>
        <w:numPr>
          <w:ilvl w:val="1"/>
          <w:numId w:val="5"/>
        </w:numPr>
        <w:tabs>
          <w:tab w:val="left" w:pos="980"/>
        </w:tabs>
        <w:spacing w:line="360" w:lineRule="auto"/>
        <w:rPr>
          <w:b/>
          <w:bCs/>
          <w:sz w:val="21"/>
          <w:szCs w:val="22"/>
        </w:rPr>
      </w:pPr>
      <w:bookmarkStart w:id="61" w:name="8.2_不再招标"/>
      <w:bookmarkEnd w:id="61"/>
      <w:r>
        <w:rPr>
          <w:rFonts w:hint="eastAsia"/>
          <w:b/>
          <w:bCs/>
          <w:sz w:val="21"/>
          <w:szCs w:val="22"/>
        </w:rPr>
        <w:t>不再招标</w:t>
      </w:r>
    </w:p>
    <w:p>
      <w:pPr>
        <w:pStyle w:val="12"/>
        <w:spacing w:line="360" w:lineRule="auto"/>
        <w:ind w:left="560" w:right="624" w:firstLine="420"/>
      </w:pPr>
      <w:r>
        <w:rPr>
          <w:rFonts w:hint="eastAsia"/>
        </w:rPr>
        <w:t>重新招标后投标人仍少于3个或者所有投标被否决的，属于必须审批或核准的工程建设项目，经原审批或核准部门批准后，可以不再进行招标。</w:t>
      </w:r>
    </w:p>
    <w:p>
      <w:pPr>
        <w:pStyle w:val="5"/>
        <w:numPr>
          <w:ilvl w:val="0"/>
          <w:numId w:val="5"/>
        </w:numPr>
        <w:tabs>
          <w:tab w:val="left" w:pos="911"/>
        </w:tabs>
        <w:spacing w:line="360" w:lineRule="auto"/>
        <w:rPr>
          <w:b/>
          <w:bCs/>
          <w:sz w:val="21"/>
          <w:szCs w:val="21"/>
        </w:rPr>
      </w:pPr>
      <w:bookmarkStart w:id="62" w:name="第三章__评标办法（综合评估法）"/>
      <w:bookmarkEnd w:id="62"/>
      <w:bookmarkStart w:id="63" w:name="9._纪律和监督"/>
      <w:bookmarkEnd w:id="63"/>
      <w:bookmarkStart w:id="64" w:name="_Toc8466"/>
      <w:r>
        <w:rPr>
          <w:rFonts w:hint="eastAsia"/>
          <w:b/>
          <w:bCs/>
          <w:sz w:val="21"/>
          <w:szCs w:val="21"/>
        </w:rPr>
        <w:t>纪律和监督</w:t>
      </w:r>
      <w:bookmarkEnd w:id="64"/>
    </w:p>
    <w:p>
      <w:pPr>
        <w:pStyle w:val="7"/>
        <w:numPr>
          <w:ilvl w:val="1"/>
          <w:numId w:val="5"/>
        </w:numPr>
        <w:tabs>
          <w:tab w:val="left" w:pos="980"/>
        </w:tabs>
        <w:spacing w:line="360" w:lineRule="auto"/>
        <w:rPr>
          <w:b/>
          <w:bCs/>
          <w:sz w:val="21"/>
          <w:szCs w:val="22"/>
        </w:rPr>
      </w:pPr>
      <w:bookmarkStart w:id="65" w:name="9.1_对招标人的纪律要求"/>
      <w:bookmarkEnd w:id="65"/>
      <w:r>
        <w:rPr>
          <w:rFonts w:hint="eastAsia"/>
          <w:b/>
          <w:bCs/>
          <w:sz w:val="21"/>
          <w:szCs w:val="22"/>
        </w:rPr>
        <w:t>对招标人的纪律要求</w:t>
      </w:r>
    </w:p>
    <w:p>
      <w:pPr>
        <w:pStyle w:val="12"/>
        <w:spacing w:line="360" w:lineRule="auto"/>
        <w:ind w:left="560" w:right="626" w:firstLine="420"/>
      </w:pPr>
      <w:r>
        <w:rPr>
          <w:rFonts w:hint="eastAsia"/>
        </w:rPr>
        <w:t>招标人不得泄</w:t>
      </w:r>
      <w:r>
        <w:rPr>
          <w:rFonts w:hint="eastAsia"/>
          <w:lang w:eastAsia="zh-CN"/>
        </w:rPr>
        <w:t>露</w:t>
      </w:r>
      <w:r>
        <w:rPr>
          <w:rFonts w:hint="eastAsia"/>
        </w:rPr>
        <w:t>招标投标活动中应当保密的情况和资料，不得与投标人串通损害国家利益、社会公共利益或者他人合法权益。</w:t>
      </w:r>
    </w:p>
    <w:p>
      <w:pPr>
        <w:pStyle w:val="7"/>
        <w:numPr>
          <w:ilvl w:val="1"/>
          <w:numId w:val="5"/>
        </w:numPr>
        <w:tabs>
          <w:tab w:val="left" w:pos="980"/>
        </w:tabs>
        <w:spacing w:line="360" w:lineRule="auto"/>
        <w:rPr>
          <w:b/>
          <w:bCs/>
          <w:sz w:val="21"/>
          <w:szCs w:val="22"/>
        </w:rPr>
      </w:pPr>
      <w:bookmarkStart w:id="66" w:name="9.2_对投标人的纪律要求"/>
      <w:bookmarkEnd w:id="66"/>
      <w:r>
        <w:rPr>
          <w:rFonts w:hint="eastAsia"/>
          <w:b/>
          <w:bCs/>
          <w:sz w:val="21"/>
          <w:szCs w:val="22"/>
        </w:rPr>
        <w:t>对投标人的纪律要求</w:t>
      </w:r>
    </w:p>
    <w:p>
      <w:pPr>
        <w:pStyle w:val="12"/>
        <w:spacing w:line="360" w:lineRule="auto"/>
        <w:ind w:left="560" w:right="626" w:firstLine="420"/>
        <w:rPr>
          <w:szCs w:val="22"/>
        </w:rPr>
      </w:pPr>
      <w:r>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r>
        <w:rPr>
          <w:rFonts w:hint="eastAsia"/>
          <w:szCs w:val="22"/>
        </w:rPr>
        <w:t>。</w:t>
      </w:r>
    </w:p>
    <w:p>
      <w:pPr>
        <w:pStyle w:val="7"/>
        <w:numPr>
          <w:ilvl w:val="1"/>
          <w:numId w:val="5"/>
        </w:numPr>
        <w:tabs>
          <w:tab w:val="left" w:pos="980"/>
        </w:tabs>
        <w:spacing w:line="360" w:lineRule="auto"/>
        <w:rPr>
          <w:b/>
          <w:bCs/>
          <w:sz w:val="21"/>
          <w:szCs w:val="22"/>
        </w:rPr>
      </w:pPr>
      <w:bookmarkStart w:id="67" w:name="9.3_对评标委员会成员的纪律要求"/>
      <w:bookmarkEnd w:id="67"/>
      <w:r>
        <w:rPr>
          <w:rFonts w:hint="eastAsia"/>
          <w:b/>
          <w:bCs/>
          <w:sz w:val="21"/>
          <w:szCs w:val="22"/>
        </w:rPr>
        <w:t>对评标委员会成员的纪律要求</w:t>
      </w:r>
    </w:p>
    <w:p>
      <w:pPr>
        <w:pStyle w:val="12"/>
        <w:spacing w:line="360" w:lineRule="auto"/>
        <w:ind w:left="560" w:right="626" w:firstLine="420"/>
        <w:jc w:val="both"/>
      </w:pPr>
      <w:r>
        <w:rPr>
          <w:rFonts w:hint="eastAsia"/>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numPr>
          <w:ilvl w:val="1"/>
          <w:numId w:val="5"/>
        </w:numPr>
        <w:tabs>
          <w:tab w:val="left" w:pos="980"/>
        </w:tabs>
        <w:spacing w:line="360" w:lineRule="auto"/>
        <w:rPr>
          <w:b/>
          <w:bCs/>
          <w:sz w:val="21"/>
          <w:szCs w:val="22"/>
        </w:rPr>
      </w:pPr>
      <w:bookmarkStart w:id="68" w:name="9.4_对与评标活动有关的工作人员的纪律要求"/>
      <w:bookmarkEnd w:id="68"/>
      <w:r>
        <w:rPr>
          <w:rFonts w:hint="eastAsia"/>
          <w:b/>
          <w:bCs/>
          <w:sz w:val="21"/>
          <w:szCs w:val="22"/>
        </w:rPr>
        <w:t>对与评标活动有关的工作人员的纪律要求</w:t>
      </w:r>
    </w:p>
    <w:p>
      <w:pPr>
        <w:pStyle w:val="12"/>
        <w:spacing w:line="360" w:lineRule="auto"/>
        <w:ind w:left="560" w:right="626" w:firstLine="420"/>
        <w:jc w:val="both"/>
        <w:rPr>
          <w:szCs w:val="22"/>
        </w:rPr>
      </w:pPr>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r>
        <w:rPr>
          <w:rFonts w:hint="eastAsia"/>
          <w:szCs w:val="22"/>
        </w:rPr>
        <w:t>。</w:t>
      </w:r>
    </w:p>
    <w:p>
      <w:pPr>
        <w:pStyle w:val="7"/>
        <w:numPr>
          <w:ilvl w:val="1"/>
          <w:numId w:val="5"/>
        </w:numPr>
        <w:tabs>
          <w:tab w:val="left" w:pos="980"/>
        </w:tabs>
        <w:spacing w:line="360" w:lineRule="auto"/>
        <w:rPr>
          <w:b/>
          <w:bCs/>
          <w:sz w:val="21"/>
          <w:szCs w:val="22"/>
        </w:rPr>
      </w:pPr>
      <w:bookmarkStart w:id="69" w:name="9.5异议"/>
      <w:bookmarkEnd w:id="69"/>
      <w:r>
        <w:rPr>
          <w:rFonts w:hint="eastAsia"/>
          <w:b/>
          <w:bCs/>
          <w:sz w:val="21"/>
          <w:szCs w:val="22"/>
        </w:rPr>
        <w:t>异议</w:t>
      </w:r>
    </w:p>
    <w:p>
      <w:pPr>
        <w:pStyle w:val="62"/>
        <w:numPr>
          <w:ilvl w:val="2"/>
          <w:numId w:val="5"/>
        </w:numPr>
        <w:tabs>
          <w:tab w:val="left" w:pos="1453"/>
        </w:tabs>
        <w:spacing w:line="360" w:lineRule="auto"/>
        <w:ind w:left="414" w:right="231" w:rightChars="110" w:firstLine="420"/>
        <w:rPr>
          <w:sz w:val="21"/>
        </w:rPr>
      </w:pPr>
      <w:r>
        <w:rPr>
          <w:rFonts w:hint="eastAsia"/>
          <w:sz w:val="21"/>
          <w:szCs w:val="21"/>
        </w:rPr>
        <w:t>潜在投标人或者其他利害关系人对招标文件有异议的，应当在投标截止时间10日前提出</w:t>
      </w:r>
      <w:r>
        <w:rPr>
          <w:rFonts w:hint="eastAsia"/>
          <w:w w:val="95"/>
          <w:sz w:val="21"/>
        </w:rPr>
        <w:t>。</w:t>
      </w:r>
    </w:p>
    <w:p>
      <w:pPr>
        <w:pStyle w:val="62"/>
        <w:numPr>
          <w:ilvl w:val="2"/>
          <w:numId w:val="5"/>
        </w:numPr>
        <w:tabs>
          <w:tab w:val="left" w:pos="1453"/>
        </w:tabs>
        <w:spacing w:line="360" w:lineRule="auto"/>
        <w:ind w:left="414" w:right="231" w:rightChars="110" w:firstLine="420"/>
        <w:rPr>
          <w:sz w:val="21"/>
          <w:szCs w:val="21"/>
        </w:rPr>
      </w:pPr>
      <w:r>
        <w:rPr>
          <w:rFonts w:hint="eastAsia"/>
          <w:sz w:val="21"/>
        </w:rPr>
        <w:t>投标人不参加现场开标会，由公正机构对开标会组织公正，投标人对开标过程视为默认</w:t>
      </w:r>
      <w:r>
        <w:rPr>
          <w:rFonts w:hint="eastAsia"/>
          <w:sz w:val="21"/>
          <w:szCs w:val="21"/>
        </w:rPr>
        <w:t>。</w:t>
      </w:r>
    </w:p>
    <w:p>
      <w:pPr>
        <w:pStyle w:val="62"/>
        <w:numPr>
          <w:ilvl w:val="2"/>
          <w:numId w:val="5"/>
        </w:numPr>
        <w:tabs>
          <w:tab w:val="left" w:pos="1453"/>
        </w:tabs>
        <w:spacing w:line="360" w:lineRule="auto"/>
        <w:ind w:left="414" w:right="231" w:rightChars="110" w:firstLine="420"/>
        <w:rPr>
          <w:sz w:val="21"/>
          <w:szCs w:val="21"/>
        </w:rPr>
      </w:pPr>
      <w:r>
        <w:rPr>
          <w:rFonts w:hint="eastAsia"/>
          <w:sz w:val="21"/>
          <w:szCs w:val="21"/>
        </w:rPr>
        <w:t>投标人或者其他利害关系人对依法必须进行招标的项目的评标结果有异议的，应当在中标候选人公示期间提出。</w:t>
      </w:r>
    </w:p>
    <w:p>
      <w:pPr>
        <w:pStyle w:val="7"/>
        <w:numPr>
          <w:ilvl w:val="1"/>
          <w:numId w:val="5"/>
        </w:numPr>
        <w:tabs>
          <w:tab w:val="left" w:pos="980"/>
        </w:tabs>
        <w:spacing w:line="360" w:lineRule="auto"/>
        <w:rPr>
          <w:b/>
          <w:bCs/>
          <w:sz w:val="21"/>
          <w:szCs w:val="22"/>
        </w:rPr>
      </w:pPr>
      <w:bookmarkStart w:id="70" w:name="9.6_投诉"/>
      <w:bookmarkEnd w:id="70"/>
      <w:r>
        <w:rPr>
          <w:rFonts w:hint="eastAsia"/>
          <w:b/>
          <w:bCs/>
          <w:sz w:val="21"/>
          <w:szCs w:val="22"/>
        </w:rPr>
        <w:t>投诉</w:t>
      </w:r>
    </w:p>
    <w:p>
      <w:pPr>
        <w:pStyle w:val="62"/>
        <w:numPr>
          <w:ilvl w:val="2"/>
          <w:numId w:val="5"/>
        </w:numPr>
        <w:tabs>
          <w:tab w:val="left" w:pos="1453"/>
        </w:tabs>
        <w:spacing w:line="360" w:lineRule="auto"/>
        <w:ind w:left="414" w:right="231" w:rightChars="110" w:firstLine="420"/>
        <w:rPr>
          <w:sz w:val="21"/>
          <w:szCs w:val="21"/>
        </w:rPr>
      </w:pPr>
      <w:r>
        <w:rPr>
          <w:rFonts w:hint="eastAsia"/>
          <w:sz w:val="21"/>
          <w:szCs w:val="21"/>
        </w:rPr>
        <w:t>投标人或者其他利害关系人认为招标投标活动不符合法律、行政法规规定的，可以自知道或者应当知道之日起10日内向有关行政监督部门投诉。投诉应当有明确的请求和必要的证明材料。</w:t>
      </w:r>
    </w:p>
    <w:p>
      <w:pPr>
        <w:pStyle w:val="62"/>
        <w:numPr>
          <w:ilvl w:val="2"/>
          <w:numId w:val="5"/>
        </w:numPr>
        <w:tabs>
          <w:tab w:val="left" w:pos="1453"/>
        </w:tabs>
        <w:spacing w:line="360" w:lineRule="auto"/>
        <w:ind w:left="414" w:right="231" w:rightChars="110" w:firstLine="420"/>
        <w:rPr>
          <w:sz w:val="21"/>
        </w:rPr>
      </w:pPr>
      <w:r>
        <w:rPr>
          <w:rFonts w:hint="eastAsia"/>
          <w:sz w:val="21"/>
          <w:szCs w:val="21"/>
        </w:rPr>
        <w:t>就第9.5款规定事项投诉的，应当先向招标人提出异议，异议答复期间不计算在第9.6.1项规定的期限内</w:t>
      </w:r>
      <w:r>
        <w:rPr>
          <w:rFonts w:hint="eastAsia"/>
          <w:sz w:val="21"/>
        </w:rPr>
        <w:t>。</w:t>
      </w:r>
    </w:p>
    <w:p>
      <w:pPr>
        <w:pStyle w:val="5"/>
        <w:numPr>
          <w:ilvl w:val="0"/>
          <w:numId w:val="5"/>
        </w:numPr>
        <w:tabs>
          <w:tab w:val="left" w:pos="911"/>
        </w:tabs>
        <w:spacing w:line="360" w:lineRule="auto"/>
        <w:rPr>
          <w:b/>
          <w:bCs/>
          <w:sz w:val="21"/>
          <w:szCs w:val="21"/>
        </w:rPr>
      </w:pPr>
      <w:bookmarkStart w:id="71" w:name="10._需要补充的其他内容"/>
      <w:bookmarkEnd w:id="71"/>
      <w:bookmarkStart w:id="72" w:name="_Toc19240"/>
      <w:r>
        <w:rPr>
          <w:rFonts w:hint="eastAsia"/>
          <w:b/>
          <w:bCs/>
          <w:sz w:val="21"/>
          <w:szCs w:val="21"/>
        </w:rPr>
        <w:t>需要补充的其他内容</w:t>
      </w:r>
      <w:bookmarkEnd w:id="72"/>
    </w:p>
    <w:p>
      <w:pPr>
        <w:pStyle w:val="12"/>
        <w:spacing w:line="360" w:lineRule="auto"/>
        <w:ind w:left="980"/>
      </w:pPr>
      <w:r>
        <w:rPr>
          <w:rFonts w:hint="eastAsia"/>
        </w:rPr>
        <w:t>需要补充的其他内容：见投标人须知前附表。</w:t>
      </w:r>
    </w:p>
    <w:p/>
    <w:p>
      <w:pPr>
        <w:pStyle w:val="2"/>
      </w:pPr>
    </w:p>
    <w:p/>
    <w:p>
      <w:pPr>
        <w:pStyle w:val="2"/>
      </w:pPr>
    </w:p>
    <w:p>
      <w:pPr>
        <w:widowControl/>
      </w:pPr>
      <w:r>
        <w:br w:type="page"/>
      </w:r>
    </w:p>
    <w:p/>
    <w:p>
      <w:pPr>
        <w:pStyle w:val="2"/>
      </w:pPr>
    </w:p>
    <w:p>
      <w:r>
        <w:rPr>
          <w:rFonts w:hint="eastAsia"/>
          <w:sz w:val="24"/>
        </w:rPr>
        <w:t>附件一</w:t>
      </w:r>
    </w:p>
    <w:p>
      <w:pPr>
        <w:tabs>
          <w:tab w:val="left" w:pos="3559"/>
        </w:tabs>
        <w:spacing w:before="30" w:after="8"/>
        <w:ind w:left="560"/>
        <w:rPr>
          <w:sz w:val="30"/>
        </w:rPr>
      </w:pPr>
      <w:r>
        <w:rPr>
          <w:rFonts w:hint="eastAsia"/>
          <w:sz w:val="24"/>
        </w:rPr>
        <w:tab/>
      </w:r>
      <w:r>
        <w:rPr>
          <w:rFonts w:hint="eastAsia"/>
          <w:sz w:val="30"/>
        </w:rPr>
        <w:t>资格审查强制性资格条件标准</w:t>
      </w:r>
    </w:p>
    <w:p/>
    <w:tbl>
      <w:tblPr>
        <w:tblStyle w:val="6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978"/>
        <w:gridCol w:w="73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704" w:type="dxa"/>
            <w:vAlign w:val="center"/>
          </w:tcPr>
          <w:p>
            <w:pPr>
              <w:pStyle w:val="63"/>
              <w:spacing w:before="1" w:line="360" w:lineRule="auto"/>
              <w:jc w:val="center"/>
              <w:rPr>
                <w:sz w:val="21"/>
                <w:szCs w:val="21"/>
              </w:rPr>
            </w:pPr>
            <w:r>
              <w:rPr>
                <w:rFonts w:hint="eastAsia"/>
                <w:sz w:val="21"/>
                <w:szCs w:val="21"/>
              </w:rPr>
              <w:t>序号</w:t>
            </w:r>
          </w:p>
        </w:tc>
        <w:tc>
          <w:tcPr>
            <w:tcW w:w="1978" w:type="dxa"/>
            <w:vAlign w:val="center"/>
          </w:tcPr>
          <w:p>
            <w:pPr>
              <w:pStyle w:val="63"/>
              <w:spacing w:before="1" w:line="360" w:lineRule="auto"/>
              <w:ind w:right="262" w:rightChars="0"/>
              <w:jc w:val="center"/>
              <w:rPr>
                <w:sz w:val="21"/>
                <w:szCs w:val="21"/>
              </w:rPr>
            </w:pPr>
            <w:r>
              <w:rPr>
                <w:rFonts w:hint="eastAsia"/>
                <w:sz w:val="21"/>
                <w:szCs w:val="21"/>
              </w:rPr>
              <w:t>项目内容</w:t>
            </w:r>
          </w:p>
        </w:tc>
        <w:tc>
          <w:tcPr>
            <w:tcW w:w="7344" w:type="dxa"/>
            <w:vAlign w:val="center"/>
          </w:tcPr>
          <w:p>
            <w:pPr>
              <w:widowControl/>
              <w:spacing w:line="36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合格条件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jc w:val="center"/>
        </w:trPr>
        <w:tc>
          <w:tcPr>
            <w:tcW w:w="704" w:type="dxa"/>
            <w:vAlign w:val="center"/>
          </w:tcPr>
          <w:p>
            <w:pPr>
              <w:pStyle w:val="63"/>
              <w:spacing w:before="1" w:line="360" w:lineRule="auto"/>
              <w:jc w:val="center"/>
              <w:rPr>
                <w:sz w:val="21"/>
                <w:szCs w:val="21"/>
              </w:rPr>
            </w:pPr>
            <w:r>
              <w:rPr>
                <w:rFonts w:hint="eastAsia"/>
                <w:w w:val="99"/>
                <w:sz w:val="21"/>
                <w:szCs w:val="21"/>
              </w:rPr>
              <w:t>1</w:t>
            </w:r>
          </w:p>
        </w:tc>
        <w:tc>
          <w:tcPr>
            <w:tcW w:w="1978" w:type="dxa"/>
            <w:vAlign w:val="center"/>
          </w:tcPr>
          <w:p>
            <w:pPr>
              <w:pStyle w:val="63"/>
              <w:spacing w:before="1" w:line="360" w:lineRule="auto"/>
              <w:ind w:right="262" w:rightChars="0"/>
              <w:jc w:val="center"/>
              <w:rPr>
                <w:sz w:val="21"/>
                <w:szCs w:val="21"/>
                <w:highlight w:val="none"/>
              </w:rPr>
            </w:pPr>
            <w:r>
              <w:rPr>
                <w:rFonts w:hint="eastAsia"/>
                <w:sz w:val="21"/>
                <w:szCs w:val="21"/>
                <w:highlight w:val="none"/>
              </w:rPr>
              <w:t>资质要求</w:t>
            </w:r>
          </w:p>
        </w:tc>
        <w:tc>
          <w:tcPr>
            <w:tcW w:w="7344" w:type="dxa"/>
            <w:vAlign w:val="top"/>
          </w:tcPr>
          <w:p>
            <w:pPr>
              <w:pStyle w:val="62"/>
              <w:tabs>
                <w:tab w:val="left" w:pos="1364"/>
              </w:tabs>
              <w:spacing w:line="336" w:lineRule="auto"/>
              <w:ind w:left="0" w:firstLine="0"/>
              <w:rPr>
                <w:sz w:val="21"/>
                <w:szCs w:val="21"/>
                <w:highlight w:val="none"/>
              </w:rPr>
            </w:pPr>
            <w:r>
              <w:rPr>
                <w:rFonts w:hint="eastAsia"/>
                <w:sz w:val="21"/>
                <w:szCs w:val="21"/>
                <w:highlight w:val="none"/>
              </w:rPr>
              <w:t>1、投标人具有独立法人资格的厨房设备制造商或供货商；</w:t>
            </w:r>
          </w:p>
          <w:p>
            <w:pPr>
              <w:widowControl/>
              <w:spacing w:line="360" w:lineRule="auto"/>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2、投标人负责人为同一人或者存在控股、管理关系的不同单位，不得同时参加本项目投标。</w:t>
            </w:r>
          </w:p>
          <w:p>
            <w:pPr>
              <w:widowControl/>
              <w:spacing w:line="360" w:lineRule="auto"/>
              <w:rPr>
                <w:rFonts w:ascii="Times New Roman" w:hAnsi="Times New Roman" w:eastAsia="宋体" w:cs="Times New Roman"/>
                <w:kern w:val="0"/>
                <w:sz w:val="21"/>
                <w:szCs w:val="21"/>
                <w:highlight w:val="none"/>
              </w:rPr>
            </w:pPr>
            <w:r>
              <w:rPr>
                <w:rFonts w:hint="eastAsia" w:ascii="宋体" w:hAnsi="宋体" w:eastAsia="宋体" w:cs="宋体"/>
                <w:b/>
                <w:bCs/>
                <w:color w:val="000000" w:themeColor="text1"/>
                <w:sz w:val="21"/>
                <w:szCs w:val="21"/>
                <w:highlight w:val="none"/>
                <w:u w:val="none"/>
                <w:lang w:val="en-US" w:eastAsia="zh-CN"/>
                <w14:textFill>
                  <w14:solidFill>
                    <w14:schemeClr w14:val="tx1"/>
                  </w14:solidFill>
                </w14:textFill>
              </w:rPr>
              <w:t>提供：营业执照复印件。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704" w:type="dxa"/>
            <w:vAlign w:val="center"/>
          </w:tcPr>
          <w:p>
            <w:pPr>
              <w:pStyle w:val="63"/>
              <w:spacing w:line="360" w:lineRule="auto"/>
              <w:jc w:val="center"/>
              <w:rPr>
                <w:rFonts w:hint="eastAsia" w:eastAsia="宋体"/>
                <w:w w:val="99"/>
                <w:sz w:val="21"/>
                <w:szCs w:val="21"/>
                <w:lang w:val="en-US" w:eastAsia="zh-CN"/>
              </w:rPr>
            </w:pPr>
            <w:r>
              <w:rPr>
                <w:rFonts w:hint="eastAsia"/>
                <w:w w:val="99"/>
                <w:sz w:val="21"/>
                <w:szCs w:val="21"/>
                <w:lang w:val="en-US" w:eastAsia="zh-CN"/>
              </w:rPr>
              <w:t>2</w:t>
            </w:r>
          </w:p>
        </w:tc>
        <w:tc>
          <w:tcPr>
            <w:tcW w:w="1978" w:type="dxa"/>
            <w:vAlign w:val="center"/>
          </w:tcPr>
          <w:p>
            <w:pPr>
              <w:pStyle w:val="63"/>
              <w:spacing w:before="1" w:line="360" w:lineRule="auto"/>
              <w:ind w:right="262"/>
              <w:jc w:val="center"/>
              <w:rPr>
                <w:rFonts w:hint="eastAsia"/>
                <w:sz w:val="21"/>
                <w:szCs w:val="21"/>
                <w:lang w:val="en-US" w:eastAsia="zh-CN"/>
              </w:rPr>
            </w:pPr>
            <w:r>
              <w:rPr>
                <w:rFonts w:hint="eastAsia"/>
                <w:sz w:val="21"/>
                <w:szCs w:val="21"/>
                <w:lang w:val="en-US" w:eastAsia="zh-CN"/>
              </w:rPr>
              <w:t>投标人</w:t>
            </w:r>
          </w:p>
          <w:p>
            <w:pPr>
              <w:pStyle w:val="63"/>
              <w:spacing w:before="1" w:line="360" w:lineRule="auto"/>
              <w:ind w:right="262" w:rightChars="0"/>
              <w:jc w:val="center"/>
              <w:rPr>
                <w:rFonts w:hint="eastAsia"/>
                <w:sz w:val="21"/>
                <w:szCs w:val="21"/>
              </w:rPr>
            </w:pPr>
            <w:r>
              <w:rPr>
                <w:rFonts w:hint="eastAsia"/>
                <w:sz w:val="21"/>
                <w:szCs w:val="21"/>
                <w:lang w:val="en-US" w:eastAsia="zh-CN"/>
              </w:rPr>
              <w:t>业绩</w:t>
            </w:r>
          </w:p>
        </w:tc>
        <w:tc>
          <w:tcPr>
            <w:tcW w:w="7344" w:type="dxa"/>
            <w:vAlign w:val="center"/>
          </w:tcPr>
          <w:p>
            <w:pPr>
              <w:pStyle w:val="63"/>
              <w:spacing w:line="360" w:lineRule="auto"/>
              <w:rPr>
                <w:rFonts w:hint="eastAsia"/>
                <w:sz w:val="21"/>
                <w:szCs w:val="21"/>
                <w:lang w:val="en-US" w:eastAsia="zh-CN"/>
              </w:rPr>
            </w:pPr>
            <w:r>
              <w:rPr>
                <w:rFonts w:hint="eastAsia"/>
                <w:sz w:val="21"/>
                <w:szCs w:val="21"/>
                <w:lang w:val="en-US" w:eastAsia="zh-CN"/>
              </w:rPr>
              <w:t>投标人自2018年1月1日至投标截止日（以完工验收证明材料上的时间为准）完成过单项合同金</w:t>
            </w:r>
            <w:r>
              <w:rPr>
                <w:rFonts w:hint="eastAsia"/>
                <w:sz w:val="21"/>
                <w:szCs w:val="21"/>
                <w:highlight w:val="none"/>
                <w:lang w:val="en-US" w:eastAsia="zh-CN"/>
              </w:rPr>
              <w:t>额150万元及</w:t>
            </w:r>
            <w:r>
              <w:rPr>
                <w:rFonts w:hint="eastAsia"/>
                <w:sz w:val="21"/>
                <w:szCs w:val="21"/>
                <w:lang w:val="en-US" w:eastAsia="zh-CN"/>
              </w:rPr>
              <w:t>以上的</w:t>
            </w:r>
            <w:r>
              <w:rPr>
                <w:rFonts w:hint="eastAsia" w:ascii="宋体" w:hAnsi="宋体" w:eastAsia="宋体" w:cs="宋体"/>
                <w:color w:val="000000" w:themeColor="text1"/>
                <w:sz w:val="21"/>
                <w:szCs w:val="21"/>
                <w:highlight w:val="cyan"/>
                <w:u w:val="none"/>
                <w:lang w:val="en-US" w:eastAsia="zh-CN"/>
                <w14:textFill>
                  <w14:solidFill>
                    <w14:schemeClr w14:val="tx1"/>
                  </w14:solidFill>
                </w14:textFill>
              </w:rPr>
              <w:t>厨房设施设备项目</w:t>
            </w:r>
            <w:r>
              <w:rPr>
                <w:rFonts w:hint="eastAsia" w:cs="宋体"/>
                <w:color w:val="000000" w:themeColor="text1"/>
                <w:sz w:val="21"/>
                <w:szCs w:val="21"/>
                <w:highlight w:val="cyan"/>
                <w:u w:val="none"/>
                <w:lang w:val="en-US" w:eastAsia="zh-CN"/>
                <w14:textFill>
                  <w14:solidFill>
                    <w14:schemeClr w14:val="tx1"/>
                  </w14:solidFill>
                </w14:textFill>
              </w:rPr>
              <w:t>业绩</w:t>
            </w:r>
            <w:r>
              <w:rPr>
                <w:rFonts w:hint="eastAsia"/>
                <w:sz w:val="21"/>
                <w:szCs w:val="21"/>
                <w:highlight w:val="cyan"/>
                <w:lang w:val="en-US" w:eastAsia="zh-CN"/>
              </w:rPr>
              <w:t>的</w:t>
            </w:r>
            <w:r>
              <w:rPr>
                <w:rFonts w:hint="eastAsia"/>
                <w:sz w:val="21"/>
                <w:szCs w:val="21"/>
                <w:lang w:val="en-US" w:eastAsia="zh-CN"/>
              </w:rPr>
              <w:t>。</w:t>
            </w:r>
          </w:p>
          <w:p>
            <w:pPr>
              <w:pStyle w:val="63"/>
              <w:spacing w:line="360" w:lineRule="auto"/>
              <w:rPr>
                <w:rFonts w:hint="eastAsia"/>
                <w:sz w:val="21"/>
                <w:szCs w:val="21"/>
              </w:rPr>
            </w:pPr>
            <w:r>
              <w:rPr>
                <w:rFonts w:hint="eastAsia"/>
                <w:b/>
                <w:bCs/>
                <w:sz w:val="21"/>
                <w:szCs w:val="21"/>
                <w:lang w:val="en-US" w:eastAsia="zh-CN"/>
              </w:rPr>
              <w:t>提供：中标通知书、合同和完工验收证明材料复印件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704" w:type="dxa"/>
            <w:vAlign w:val="center"/>
          </w:tcPr>
          <w:p>
            <w:pPr>
              <w:pStyle w:val="63"/>
              <w:spacing w:line="360" w:lineRule="auto"/>
              <w:jc w:val="center"/>
              <w:rPr>
                <w:rFonts w:hint="eastAsia" w:eastAsia="宋体"/>
                <w:sz w:val="21"/>
                <w:szCs w:val="21"/>
                <w:lang w:eastAsia="zh-CN"/>
              </w:rPr>
            </w:pPr>
            <w:r>
              <w:rPr>
                <w:rFonts w:hint="eastAsia"/>
                <w:w w:val="99"/>
                <w:sz w:val="21"/>
                <w:szCs w:val="21"/>
                <w:lang w:val="en-US" w:eastAsia="zh-CN"/>
              </w:rPr>
              <w:t>3</w:t>
            </w:r>
          </w:p>
        </w:tc>
        <w:tc>
          <w:tcPr>
            <w:tcW w:w="1978" w:type="dxa"/>
            <w:vAlign w:val="center"/>
          </w:tcPr>
          <w:p>
            <w:pPr>
              <w:pStyle w:val="63"/>
              <w:spacing w:line="360" w:lineRule="auto"/>
              <w:ind w:right="261" w:rightChars="0"/>
              <w:jc w:val="center"/>
              <w:rPr>
                <w:sz w:val="21"/>
                <w:szCs w:val="21"/>
              </w:rPr>
            </w:pPr>
            <w:r>
              <w:rPr>
                <w:rFonts w:hint="eastAsia"/>
                <w:sz w:val="21"/>
                <w:szCs w:val="21"/>
              </w:rPr>
              <w:t>没有被限制投标</w:t>
            </w:r>
          </w:p>
        </w:tc>
        <w:tc>
          <w:tcPr>
            <w:tcW w:w="7344" w:type="dxa"/>
            <w:vAlign w:val="center"/>
          </w:tcPr>
          <w:p>
            <w:pPr>
              <w:pStyle w:val="63"/>
              <w:spacing w:line="360" w:lineRule="auto"/>
              <w:rPr>
                <w:sz w:val="21"/>
                <w:szCs w:val="21"/>
              </w:rPr>
            </w:pPr>
            <w:r>
              <w:rPr>
                <w:rFonts w:hint="eastAsia"/>
                <w:sz w:val="21"/>
                <w:szCs w:val="21"/>
              </w:rPr>
              <w:t>投标人不被有关部门限制、暂停、取消投标资格或不存在不良行为正在公示期限内。（投标人按照招标文件格式提供投标人资格声明函）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04" w:type="dxa"/>
            <w:vAlign w:val="center"/>
          </w:tcPr>
          <w:p>
            <w:pPr>
              <w:pStyle w:val="63"/>
              <w:spacing w:line="360" w:lineRule="auto"/>
              <w:jc w:val="center"/>
              <w:rPr>
                <w:rFonts w:hint="eastAsia" w:eastAsia="宋体"/>
                <w:sz w:val="21"/>
                <w:szCs w:val="21"/>
                <w:lang w:eastAsia="zh-CN"/>
              </w:rPr>
            </w:pPr>
            <w:r>
              <w:rPr>
                <w:rFonts w:hint="eastAsia"/>
                <w:sz w:val="21"/>
                <w:szCs w:val="21"/>
                <w:lang w:val="en-US" w:eastAsia="zh-CN"/>
              </w:rPr>
              <w:t>4</w:t>
            </w:r>
          </w:p>
        </w:tc>
        <w:tc>
          <w:tcPr>
            <w:tcW w:w="1978" w:type="dxa"/>
            <w:vAlign w:val="center"/>
          </w:tcPr>
          <w:p>
            <w:pPr>
              <w:pStyle w:val="63"/>
              <w:spacing w:line="360" w:lineRule="auto"/>
              <w:ind w:right="262" w:rightChars="0"/>
              <w:jc w:val="center"/>
              <w:rPr>
                <w:sz w:val="21"/>
                <w:szCs w:val="21"/>
              </w:rPr>
            </w:pPr>
            <w:r>
              <w:rPr>
                <w:rFonts w:hint="eastAsia"/>
                <w:sz w:val="21"/>
                <w:szCs w:val="21"/>
              </w:rPr>
              <w:t>联合体投标</w:t>
            </w:r>
          </w:p>
        </w:tc>
        <w:tc>
          <w:tcPr>
            <w:tcW w:w="7344" w:type="dxa"/>
            <w:vAlign w:val="center"/>
          </w:tcPr>
          <w:p>
            <w:pPr>
              <w:pStyle w:val="63"/>
              <w:spacing w:line="360" w:lineRule="auto"/>
              <w:rPr>
                <w:sz w:val="21"/>
                <w:szCs w:val="21"/>
              </w:rPr>
            </w:pPr>
            <w:r>
              <w:rPr>
                <w:rFonts w:hint="eastAsia"/>
                <w:sz w:val="21"/>
                <w:szCs w:val="21"/>
              </w:rPr>
              <w:t>本次招标不接受联合体投标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04" w:type="dxa"/>
            <w:vAlign w:val="center"/>
          </w:tcPr>
          <w:p>
            <w:pPr>
              <w:pStyle w:val="63"/>
              <w:spacing w:before="1" w:line="360" w:lineRule="auto"/>
              <w:jc w:val="center"/>
              <w:rPr>
                <w:rFonts w:hint="eastAsia" w:eastAsia="宋体"/>
                <w:sz w:val="21"/>
                <w:szCs w:val="21"/>
                <w:lang w:eastAsia="zh-CN"/>
              </w:rPr>
            </w:pPr>
            <w:r>
              <w:rPr>
                <w:rFonts w:hint="eastAsia"/>
                <w:w w:val="99"/>
                <w:sz w:val="21"/>
                <w:szCs w:val="21"/>
                <w:lang w:val="en-US" w:eastAsia="zh-CN"/>
              </w:rPr>
              <w:t>5</w:t>
            </w:r>
          </w:p>
        </w:tc>
        <w:tc>
          <w:tcPr>
            <w:tcW w:w="1978" w:type="dxa"/>
            <w:vAlign w:val="center"/>
          </w:tcPr>
          <w:p>
            <w:pPr>
              <w:pStyle w:val="63"/>
              <w:spacing w:before="1" w:line="360" w:lineRule="auto"/>
              <w:ind w:right="262"/>
              <w:jc w:val="center"/>
              <w:rPr>
                <w:sz w:val="21"/>
                <w:szCs w:val="21"/>
              </w:rPr>
            </w:pPr>
            <w:r>
              <w:rPr>
                <w:rFonts w:hint="eastAsia"/>
                <w:sz w:val="21"/>
                <w:szCs w:val="21"/>
              </w:rPr>
              <w:t>其他强制性</w:t>
            </w:r>
          </w:p>
          <w:p>
            <w:pPr>
              <w:pStyle w:val="63"/>
              <w:spacing w:before="1" w:line="360" w:lineRule="auto"/>
              <w:ind w:right="262" w:rightChars="0"/>
              <w:jc w:val="center"/>
              <w:rPr>
                <w:sz w:val="21"/>
                <w:szCs w:val="21"/>
              </w:rPr>
            </w:pPr>
            <w:r>
              <w:rPr>
                <w:rFonts w:hint="eastAsia"/>
                <w:sz w:val="21"/>
                <w:szCs w:val="21"/>
              </w:rPr>
              <w:t>资格条件</w:t>
            </w:r>
          </w:p>
        </w:tc>
        <w:tc>
          <w:tcPr>
            <w:tcW w:w="7344" w:type="dxa"/>
            <w:vAlign w:val="top"/>
          </w:tcPr>
          <w:p>
            <w:pPr>
              <w:pStyle w:val="63"/>
              <w:spacing w:line="360" w:lineRule="auto"/>
              <w:rPr>
                <w:sz w:val="21"/>
                <w:szCs w:val="21"/>
              </w:rPr>
            </w:pPr>
            <w:r>
              <w:rPr>
                <w:rFonts w:hint="eastAsia"/>
                <w:sz w:val="21"/>
                <w:szCs w:val="21"/>
              </w:rPr>
              <w:t>1、投标人未被“信用中国”（</w:t>
            </w:r>
            <w:r>
              <w:rPr>
                <w:sz w:val="21"/>
                <w:szCs w:val="21"/>
              </w:rPr>
              <w:fldChar w:fldCharType="begin"/>
            </w:r>
            <w:r>
              <w:rPr>
                <w:sz w:val="21"/>
                <w:szCs w:val="21"/>
              </w:rPr>
              <w:instrText xml:space="preserve"> HYPERLINK "http://www.creditchina.gov.cn/" \h </w:instrText>
            </w:r>
            <w:r>
              <w:rPr>
                <w:sz w:val="21"/>
                <w:szCs w:val="21"/>
              </w:rPr>
              <w:fldChar w:fldCharType="separate"/>
            </w:r>
            <w:r>
              <w:rPr>
                <w:rFonts w:hint="eastAsia"/>
                <w:sz w:val="21"/>
                <w:szCs w:val="21"/>
              </w:rPr>
              <w:t>www.creditchina.gov.cn</w:t>
            </w:r>
            <w:r>
              <w:rPr>
                <w:rFonts w:hint="eastAsia"/>
                <w:sz w:val="21"/>
                <w:szCs w:val="21"/>
              </w:rPr>
              <w:fldChar w:fldCharType="end"/>
            </w:r>
            <w:r>
              <w:rPr>
                <w:rFonts w:hint="eastAsia"/>
                <w:sz w:val="21"/>
                <w:szCs w:val="21"/>
              </w:rPr>
              <w:t>）列入“失信惩戒对象”记录。（提供自招标公告发布之日起至投标截止日内任意时间的“信用中国”网站（</w:t>
            </w:r>
            <w:r>
              <w:rPr>
                <w:sz w:val="21"/>
                <w:szCs w:val="21"/>
              </w:rPr>
              <w:fldChar w:fldCharType="begin"/>
            </w:r>
            <w:r>
              <w:rPr>
                <w:sz w:val="21"/>
                <w:szCs w:val="21"/>
              </w:rPr>
              <w:instrText xml:space="preserve"> HYPERLINK "http://www.creditchina.gov.cn/" \h </w:instrText>
            </w:r>
            <w:r>
              <w:rPr>
                <w:sz w:val="21"/>
                <w:szCs w:val="21"/>
              </w:rPr>
              <w:fldChar w:fldCharType="separate"/>
            </w:r>
            <w:r>
              <w:rPr>
                <w:rFonts w:hint="eastAsia"/>
                <w:sz w:val="21"/>
                <w:szCs w:val="21"/>
              </w:rPr>
              <w:t>www.creditchina.gov.cn</w:t>
            </w:r>
            <w:r>
              <w:rPr>
                <w:rFonts w:hint="eastAsia"/>
                <w:sz w:val="21"/>
                <w:szCs w:val="21"/>
              </w:rPr>
              <w:fldChar w:fldCharType="end"/>
            </w:r>
            <w:r>
              <w:rPr>
                <w:rFonts w:hint="eastAsia"/>
                <w:sz w:val="21"/>
                <w:szCs w:val="21"/>
              </w:rPr>
              <w:t>）投标人信用查询网页截图。（以开标当日评标委员会核实的查询结果为准）；</w:t>
            </w:r>
          </w:p>
          <w:p>
            <w:pPr>
              <w:pStyle w:val="63"/>
              <w:spacing w:line="360" w:lineRule="auto"/>
              <w:rPr>
                <w:sz w:val="21"/>
                <w:szCs w:val="21"/>
              </w:rPr>
            </w:pPr>
            <w:r>
              <w:rPr>
                <w:rFonts w:hint="eastAsia"/>
                <w:sz w:val="21"/>
                <w:szCs w:val="21"/>
              </w:rPr>
              <w:t>2、投标人及其拟派项目负责人自2019年1月1日起至投标截止日止无行贿犯罪记录（投标人按照招标文件格式提供投标人资格声明函）；</w:t>
            </w:r>
          </w:p>
        </w:tc>
      </w:tr>
    </w:tbl>
    <w:p>
      <w:pPr>
        <w:pStyle w:val="2"/>
        <w:sectPr>
          <w:pgSz w:w="11910" w:h="16840"/>
          <w:pgMar w:top="1420" w:right="600" w:bottom="1180" w:left="880" w:header="0" w:footer="913" w:gutter="0"/>
          <w:pgNumType w:fmt="decimal"/>
          <w:cols w:space="720" w:num="1"/>
        </w:sectPr>
      </w:pPr>
      <w:r>
        <w:rPr>
          <w:rFonts w:hint="eastAsia"/>
          <w:sz w:val="21"/>
          <w:szCs w:val="21"/>
        </w:rPr>
        <w:t>注：1、评标委员会按以上《资格审查强制性资格条件标准》每一项进行核查，如有一项不符合要求，则投标人的资格审查不通过，对不通过的投标人其投标文件不再进行后续评审。</w:t>
      </w:r>
    </w:p>
    <w:p>
      <w:pPr>
        <w:pStyle w:val="2"/>
        <w:spacing w:before="0" w:line="360" w:lineRule="auto"/>
        <w:ind w:right="64"/>
        <w:rPr>
          <w:b/>
          <w:sz w:val="36"/>
          <w:szCs w:val="36"/>
        </w:rPr>
      </w:pPr>
      <w:bookmarkStart w:id="73" w:name="_Toc387"/>
      <w:bookmarkStart w:id="74" w:name="_Toc24835"/>
      <w:r>
        <w:rPr>
          <w:rFonts w:hint="eastAsia"/>
          <w:b/>
          <w:bCs/>
          <w:spacing w:val="14"/>
          <w:sz w:val="36"/>
          <w:szCs w:val="36"/>
        </w:rPr>
        <w:t>第三章 评标办法（综合评估法）</w:t>
      </w:r>
      <w:bookmarkEnd w:id="73"/>
    </w:p>
    <w:p>
      <w:pPr>
        <w:spacing w:line="360" w:lineRule="auto"/>
        <w:ind w:right="64"/>
        <w:jc w:val="center"/>
        <w:rPr>
          <w:spacing w:val="22"/>
          <w:sz w:val="32"/>
        </w:rPr>
      </w:pPr>
      <w:r>
        <w:rPr>
          <w:rFonts w:hint="eastAsia"/>
          <w:spacing w:val="22"/>
          <w:sz w:val="32"/>
        </w:rPr>
        <w:t>第一部分 总则</w:t>
      </w:r>
    </w:p>
    <w:p>
      <w:pPr>
        <w:pStyle w:val="12"/>
        <w:spacing w:line="360" w:lineRule="auto"/>
        <w:ind w:left="560" w:right="621" w:firstLine="420"/>
      </w:pPr>
      <w:r>
        <w:rPr>
          <w:rFonts w:hint="eastAsia"/>
          <w:b/>
          <w:bCs/>
        </w:rPr>
        <w:t xml:space="preserve">第一条 </w:t>
      </w:r>
      <w:r>
        <w:rPr>
          <w:rFonts w:hint="eastAsia"/>
        </w:rPr>
        <w:t>为规范本项目招标评标活动，维护国家利益、社会公共利益和招标投标当事人的合法权益，依照《中华人民共和国招标投标法》等有关法律、法规和规章的规定，特制定本评标办法。</w:t>
      </w:r>
    </w:p>
    <w:p>
      <w:pPr>
        <w:pStyle w:val="12"/>
        <w:spacing w:line="360" w:lineRule="auto"/>
        <w:ind w:left="980"/>
      </w:pPr>
      <w:r>
        <w:rPr>
          <w:rFonts w:hint="eastAsia"/>
          <w:b/>
          <w:bCs/>
        </w:rPr>
        <w:t xml:space="preserve">第二条 </w:t>
      </w:r>
      <w:r>
        <w:rPr>
          <w:rFonts w:hint="eastAsia"/>
        </w:rPr>
        <w:t>投标文件开启顺序：按投标文件送达时间的逆序开启所有投标文件。</w:t>
      </w:r>
    </w:p>
    <w:p>
      <w:pPr>
        <w:pStyle w:val="12"/>
        <w:spacing w:line="360" w:lineRule="auto"/>
        <w:ind w:left="980"/>
      </w:pPr>
      <w:r>
        <w:rPr>
          <w:rFonts w:hint="eastAsia"/>
          <w:b/>
          <w:bCs/>
        </w:rPr>
        <w:t>第三条</w:t>
      </w:r>
      <w:r>
        <w:rPr>
          <w:rFonts w:hint="eastAsia"/>
        </w:rPr>
        <w:t xml:space="preserve"> 评标活动应符合下列原则：</w:t>
      </w:r>
    </w:p>
    <w:p>
      <w:pPr>
        <w:pStyle w:val="12"/>
        <w:spacing w:line="360" w:lineRule="auto"/>
        <w:ind w:left="980"/>
      </w:pPr>
      <w:r>
        <w:rPr>
          <w:rFonts w:hint="eastAsia"/>
        </w:rPr>
        <w:t>（一）公平、公正、合理、择优原则；</w:t>
      </w:r>
    </w:p>
    <w:p>
      <w:pPr>
        <w:pStyle w:val="12"/>
        <w:spacing w:line="360" w:lineRule="auto"/>
        <w:ind w:left="980"/>
      </w:pPr>
      <w:r>
        <w:rPr>
          <w:rFonts w:hint="eastAsia"/>
        </w:rPr>
        <w:t>（二）依法进行原则，任何单位和个人不得非法干预评标过程或者以不正当行为影响评标结果；</w:t>
      </w:r>
    </w:p>
    <w:p>
      <w:pPr>
        <w:pStyle w:val="12"/>
        <w:spacing w:line="360" w:lineRule="auto"/>
        <w:ind w:left="980"/>
      </w:pPr>
      <w:r>
        <w:rPr>
          <w:rFonts w:hint="eastAsia"/>
        </w:rPr>
        <w:t>（三）评标活动中评委及工作人员应当遵守评标区各项规定；</w:t>
      </w:r>
    </w:p>
    <w:p>
      <w:pPr>
        <w:pStyle w:val="12"/>
        <w:spacing w:line="360" w:lineRule="auto"/>
        <w:ind w:left="980"/>
      </w:pPr>
      <w:r>
        <w:rPr>
          <w:rFonts w:hint="eastAsia"/>
        </w:rPr>
        <w:t>（四）评标委员会成员应当独立评标，认真履职，评标委员会成员具有同等表决权；</w:t>
      </w:r>
    </w:p>
    <w:p>
      <w:pPr>
        <w:pStyle w:val="12"/>
        <w:spacing w:line="360" w:lineRule="auto"/>
        <w:ind w:left="980"/>
      </w:pPr>
      <w:r>
        <w:rPr>
          <w:rFonts w:hint="eastAsia"/>
        </w:rPr>
        <w:t>（五）评标活动应当接受海盐县住房和城乡建设局的监督。</w:t>
      </w:r>
    </w:p>
    <w:p>
      <w:pPr>
        <w:pStyle w:val="12"/>
        <w:spacing w:line="360" w:lineRule="auto"/>
        <w:ind w:left="560" w:right="621" w:firstLine="420"/>
      </w:pPr>
      <w:r>
        <w:rPr>
          <w:rFonts w:hint="eastAsia"/>
          <w:b/>
          <w:bCs/>
        </w:rPr>
        <w:t xml:space="preserve">第四条 </w:t>
      </w:r>
      <w:r>
        <w:rPr>
          <w:rFonts w:hint="eastAsia"/>
        </w:rPr>
        <w:t>本项目评标采用综合评估法。评标委员会对满足招标文件实质性要求且通过符合性评审的投标文件，按照评分标准进行打分，并按综合得分由高到低顺序推荐中标候选人。</w:t>
      </w:r>
    </w:p>
    <w:p>
      <w:pPr>
        <w:spacing w:line="360" w:lineRule="auto"/>
        <w:ind w:right="64"/>
        <w:jc w:val="center"/>
        <w:rPr>
          <w:spacing w:val="22"/>
          <w:sz w:val="32"/>
        </w:rPr>
      </w:pPr>
      <w:r>
        <w:rPr>
          <w:rFonts w:hint="eastAsia"/>
          <w:spacing w:val="22"/>
          <w:sz w:val="32"/>
        </w:rPr>
        <w:t>第二部分 评标委员会和评标细则</w:t>
      </w:r>
    </w:p>
    <w:p>
      <w:pPr>
        <w:pStyle w:val="12"/>
        <w:spacing w:line="360" w:lineRule="auto"/>
        <w:ind w:left="980"/>
        <w:jc w:val="both"/>
      </w:pPr>
      <w:r>
        <w:rPr>
          <w:rFonts w:hint="eastAsia"/>
          <w:b/>
          <w:bCs/>
        </w:rPr>
        <w:t xml:space="preserve">第五条 </w:t>
      </w:r>
      <w:r>
        <w:rPr>
          <w:rFonts w:hint="eastAsia"/>
        </w:rPr>
        <w:t>评标委员会组建详见投标人须知前附表。</w:t>
      </w:r>
    </w:p>
    <w:p>
      <w:pPr>
        <w:pStyle w:val="12"/>
        <w:spacing w:line="360" w:lineRule="auto"/>
        <w:ind w:left="560" w:right="621" w:firstLine="420"/>
        <w:jc w:val="both"/>
      </w:pPr>
      <w:r>
        <w:rPr>
          <w:rFonts w:hint="eastAsia"/>
          <w:b/>
          <w:bCs/>
        </w:rPr>
        <w:t xml:space="preserve">第六条 </w:t>
      </w:r>
      <w:r>
        <w:rPr>
          <w:rFonts w:hint="eastAsia"/>
        </w:rPr>
        <w:t>评标委员会推举产生负责人，负责评标委员会成员按招标文件规定进行分工、主持对投标人的询标、相关事项的表决、提请相关评委对评审结果进行复核等事宜。</w:t>
      </w:r>
    </w:p>
    <w:p>
      <w:pPr>
        <w:pStyle w:val="12"/>
        <w:spacing w:line="360" w:lineRule="auto"/>
        <w:ind w:left="560" w:right="623" w:firstLine="420"/>
        <w:jc w:val="both"/>
      </w:pPr>
      <w:r>
        <w:rPr>
          <w:rFonts w:hint="eastAsia"/>
          <w:b/>
          <w:bCs/>
        </w:rPr>
        <w:t xml:space="preserve">第七条 </w:t>
      </w:r>
      <w:r>
        <w:rPr>
          <w:rFonts w:hint="eastAsia"/>
        </w:rPr>
        <w:t>评标委员会成员应当熟悉招标项目的条件、目标、评标标准和方法等主要内容。评标委员会应当按照招标文件明确的评标标准和方法，对投标文件进行评审和比较。未列入招标文件的评标标准和方法，不得作为评标的依据。</w:t>
      </w:r>
    </w:p>
    <w:p>
      <w:pPr>
        <w:pStyle w:val="12"/>
        <w:spacing w:line="360" w:lineRule="auto"/>
        <w:ind w:left="980"/>
        <w:jc w:val="both"/>
      </w:pPr>
      <w:r>
        <w:rPr>
          <w:rFonts w:hint="eastAsia"/>
          <w:b/>
          <w:bCs/>
        </w:rPr>
        <w:t xml:space="preserve">第八条 </w:t>
      </w:r>
      <w:r>
        <w:rPr>
          <w:rFonts w:hint="eastAsia"/>
        </w:rPr>
        <w:t>评标工作一般应当按以下程序进行：</w:t>
      </w:r>
    </w:p>
    <w:p>
      <w:pPr>
        <w:pStyle w:val="12"/>
        <w:spacing w:line="360" w:lineRule="auto"/>
        <w:ind w:left="980"/>
      </w:pPr>
      <w:r>
        <w:rPr>
          <w:rFonts w:hint="eastAsia"/>
        </w:rPr>
        <w:t>（一）熟悉招标文件和评标办法；</w:t>
      </w:r>
    </w:p>
    <w:p>
      <w:pPr>
        <w:pStyle w:val="12"/>
        <w:spacing w:line="360" w:lineRule="auto"/>
        <w:ind w:left="980"/>
      </w:pPr>
      <w:r>
        <w:rPr>
          <w:rFonts w:hint="eastAsia"/>
        </w:rPr>
        <w:t>（二）对投标文件进行初步评审；</w:t>
      </w:r>
    </w:p>
    <w:p>
      <w:pPr>
        <w:pStyle w:val="12"/>
        <w:spacing w:line="360" w:lineRule="auto"/>
        <w:ind w:left="980"/>
      </w:pPr>
      <w:r>
        <w:rPr>
          <w:rFonts w:hint="eastAsia"/>
        </w:rPr>
        <w:t>（三）对资信技术标进行符合性评审；</w:t>
      </w:r>
    </w:p>
    <w:p>
      <w:pPr>
        <w:pStyle w:val="12"/>
        <w:spacing w:line="360" w:lineRule="auto"/>
        <w:ind w:left="980"/>
      </w:pPr>
      <w:r>
        <w:rPr>
          <w:rFonts w:hint="eastAsia"/>
        </w:rPr>
        <w:t>（四）对资信技术标进行评分；</w:t>
      </w:r>
    </w:p>
    <w:p>
      <w:pPr>
        <w:pStyle w:val="12"/>
        <w:spacing w:line="360" w:lineRule="auto"/>
        <w:ind w:left="980"/>
      </w:pPr>
      <w:r>
        <w:rPr>
          <w:rFonts w:hint="eastAsia"/>
        </w:rPr>
        <w:t>（五）对商务标进行符合性评审；</w:t>
      </w:r>
    </w:p>
    <w:p>
      <w:pPr>
        <w:pStyle w:val="12"/>
        <w:spacing w:line="360" w:lineRule="auto"/>
        <w:ind w:left="980"/>
      </w:pPr>
      <w:r>
        <w:rPr>
          <w:rFonts w:hint="eastAsia"/>
        </w:rPr>
        <w:t>（六）对商务标进行评分；</w:t>
      </w:r>
    </w:p>
    <w:p>
      <w:pPr>
        <w:pStyle w:val="12"/>
        <w:spacing w:line="360" w:lineRule="auto"/>
        <w:ind w:left="980"/>
      </w:pPr>
      <w:r>
        <w:rPr>
          <w:rFonts w:hint="eastAsia"/>
        </w:rPr>
        <w:t>（七）必要时对投标文件内容进行询标；</w:t>
      </w:r>
    </w:p>
    <w:p>
      <w:pPr>
        <w:pStyle w:val="12"/>
        <w:spacing w:line="360" w:lineRule="auto"/>
        <w:ind w:left="980"/>
      </w:pPr>
      <w:r>
        <w:rPr>
          <w:rFonts w:hint="eastAsia"/>
        </w:rPr>
        <w:t>（八）编写评标报告并推荐拟中标候选人。</w:t>
      </w:r>
    </w:p>
    <w:p>
      <w:pPr>
        <w:pStyle w:val="12"/>
        <w:spacing w:line="360" w:lineRule="auto"/>
        <w:ind w:right="5455" w:firstLine="1054" w:firstLineChars="500"/>
      </w:pPr>
      <w:r>
        <w:rPr>
          <w:rFonts w:hint="eastAsia"/>
          <w:b/>
          <w:bCs/>
        </w:rPr>
        <w:t xml:space="preserve">第九条 </w:t>
      </w:r>
      <w:r>
        <w:rPr>
          <w:rFonts w:hint="eastAsia"/>
        </w:rPr>
        <w:t>初步评审</w:t>
      </w:r>
    </w:p>
    <w:p>
      <w:pPr>
        <w:pStyle w:val="12"/>
        <w:spacing w:line="360" w:lineRule="auto"/>
        <w:ind w:left="560" w:right="620" w:firstLine="420"/>
      </w:pPr>
      <w:r>
        <w:rPr>
          <w:rFonts w:hint="eastAsia"/>
        </w:rPr>
        <w:t>（一）形式评审：评标委员会对投标人“投标人名称”、“签字盖章”、“投标文件格式”、“报价唯一”等是否符合招标文件要求进行评审。</w:t>
      </w:r>
    </w:p>
    <w:p>
      <w:pPr>
        <w:pStyle w:val="12"/>
        <w:spacing w:line="360" w:lineRule="auto"/>
        <w:ind w:left="560" w:right="620" w:firstLine="420"/>
      </w:pPr>
      <w:r>
        <w:rPr>
          <w:rFonts w:hint="eastAsia"/>
        </w:rPr>
        <w:t>（二）资格评审：评标委员会对投标人“营业执照”、“资格要求”等是否符合招标文件要求进行评审。资格审查要求详见本项目招标文件投标人须知“资格审查强制性资格条件标准”。</w:t>
      </w:r>
    </w:p>
    <w:p>
      <w:pPr>
        <w:pStyle w:val="12"/>
        <w:spacing w:line="360" w:lineRule="auto"/>
        <w:ind w:left="560" w:right="620" w:firstLine="420"/>
      </w:pPr>
      <w:r>
        <w:rPr>
          <w:rFonts w:hint="eastAsia"/>
        </w:rPr>
        <w:t>（三）响应性评审：评标委员会对投标人“投标内容”、“工期”、“投标有效期”、“投标保证金”等是否符合招标文件要求进行评审。</w:t>
      </w:r>
    </w:p>
    <w:p>
      <w:pPr>
        <w:pStyle w:val="12"/>
        <w:spacing w:line="360" w:lineRule="auto"/>
        <w:ind w:left="980"/>
      </w:pPr>
      <w:r>
        <w:rPr>
          <w:rFonts w:hint="eastAsia"/>
          <w:b/>
          <w:bCs/>
          <w:spacing w:val="9"/>
        </w:rPr>
        <w:t xml:space="preserve">第十条 </w:t>
      </w:r>
      <w:r>
        <w:rPr>
          <w:rFonts w:hint="eastAsia"/>
          <w:spacing w:val="9"/>
        </w:rPr>
        <w:t>符合性评审</w:t>
      </w:r>
    </w:p>
    <w:p>
      <w:pPr>
        <w:pStyle w:val="12"/>
        <w:spacing w:line="360" w:lineRule="auto"/>
        <w:ind w:left="560" w:right="620" w:firstLine="420"/>
      </w:pPr>
      <w:r>
        <w:rPr>
          <w:rFonts w:hint="eastAsia"/>
        </w:rPr>
        <w:t>一、评标委员会对资信技术部分进行符合性评审。存在下列情况之一的，评标委员会应当否决其投标：</w:t>
      </w:r>
    </w:p>
    <w:p>
      <w:pPr>
        <w:pStyle w:val="12"/>
        <w:spacing w:line="360" w:lineRule="auto"/>
        <w:ind w:left="560" w:right="620" w:firstLine="420"/>
        <w:rPr>
          <w:b/>
          <w:bCs/>
        </w:rPr>
      </w:pPr>
      <w:r>
        <w:rPr>
          <w:rFonts w:hint="eastAsia"/>
          <w:b/>
          <w:bCs/>
        </w:rPr>
        <w:t>（一）未按招标文件的规定提供投标保证金的；</w:t>
      </w:r>
    </w:p>
    <w:p>
      <w:pPr>
        <w:pStyle w:val="12"/>
        <w:spacing w:line="360" w:lineRule="auto"/>
        <w:ind w:left="560" w:right="620" w:firstLine="420"/>
        <w:rPr>
          <w:b/>
          <w:bCs/>
        </w:rPr>
      </w:pPr>
      <w:r>
        <w:rPr>
          <w:rFonts w:hint="eastAsia"/>
          <w:b/>
          <w:bCs/>
        </w:rPr>
        <w:t>（二）未按招标文件的规定提供企业法定代表人证明书或授权代理人委托书的；</w:t>
      </w:r>
    </w:p>
    <w:p>
      <w:pPr>
        <w:pStyle w:val="12"/>
        <w:spacing w:line="360" w:lineRule="auto"/>
        <w:ind w:left="560" w:right="620" w:firstLine="420"/>
        <w:rPr>
          <w:b/>
          <w:bCs/>
        </w:rPr>
      </w:pPr>
      <w:r>
        <w:rPr>
          <w:rFonts w:hint="eastAsia"/>
          <w:b/>
          <w:bCs/>
        </w:rPr>
        <w:t>（三）投标文件既无投标单位盖章，又无投标单位负责人签字或盖章，也无投标单位负责人授权的代理人签字或盖章的；</w:t>
      </w:r>
    </w:p>
    <w:p>
      <w:pPr>
        <w:pStyle w:val="12"/>
        <w:spacing w:line="360" w:lineRule="auto"/>
        <w:ind w:left="560" w:right="620" w:firstLine="420"/>
        <w:rPr>
          <w:b/>
          <w:bCs/>
        </w:rPr>
      </w:pPr>
      <w:r>
        <w:rPr>
          <w:rFonts w:hint="eastAsia"/>
          <w:b/>
          <w:bCs/>
        </w:rPr>
        <w:t>（四）投标文件存在涂改或行间插字等修改处没有投标文件签字人签字证明或加盖单位公章的；</w:t>
      </w:r>
    </w:p>
    <w:p>
      <w:pPr>
        <w:pStyle w:val="12"/>
        <w:spacing w:line="360" w:lineRule="auto"/>
        <w:ind w:left="560" w:right="620" w:firstLine="420"/>
        <w:rPr>
          <w:rFonts w:hint="eastAsia"/>
          <w:b/>
          <w:bCs/>
        </w:rPr>
      </w:pPr>
      <w:r>
        <w:rPr>
          <w:rFonts w:hint="eastAsia"/>
          <w:b/>
          <w:bCs/>
        </w:rPr>
        <w:t>（</w:t>
      </w:r>
      <w:r>
        <w:rPr>
          <w:rFonts w:hint="eastAsia"/>
          <w:b/>
          <w:bCs/>
          <w:lang w:eastAsia="zh-CN"/>
        </w:rPr>
        <w:t>五</w:t>
      </w:r>
      <w:r>
        <w:rPr>
          <w:rFonts w:hint="eastAsia"/>
          <w:b/>
          <w:bCs/>
        </w:rPr>
        <w:t>）投标文件附有招标人不能接受的条件；</w:t>
      </w:r>
    </w:p>
    <w:p>
      <w:pPr>
        <w:pStyle w:val="12"/>
        <w:spacing w:line="360" w:lineRule="auto"/>
        <w:ind w:left="560" w:right="620" w:firstLine="420"/>
        <w:rPr>
          <w:rFonts w:hint="eastAsia" w:ascii="宋体" w:hAnsi="宋体" w:eastAsia="宋体" w:cs="宋体"/>
          <w:b/>
          <w:bCs/>
          <w:smallCaps w:val="0"/>
          <w:kern w:val="0"/>
          <w:sz w:val="21"/>
          <w:szCs w:val="21"/>
          <w:lang w:val="en-US" w:eastAsia="zh-CN" w:bidi="ar-SA"/>
        </w:rPr>
      </w:pPr>
      <w:r>
        <w:rPr>
          <w:rFonts w:hint="eastAsia" w:ascii="宋体" w:hAnsi="宋体" w:eastAsia="宋体" w:cs="宋体"/>
          <w:b/>
          <w:bCs/>
          <w:smallCaps w:val="0"/>
          <w:kern w:val="0"/>
          <w:sz w:val="21"/>
          <w:szCs w:val="21"/>
          <w:lang w:val="en-US" w:eastAsia="zh-CN" w:bidi="ar-SA"/>
        </w:rPr>
        <w:t>（六）投标文件经评标委员会表决认定存在以他人名义投标、串通投标等违法行为的；</w:t>
      </w:r>
    </w:p>
    <w:p>
      <w:pPr>
        <w:pStyle w:val="12"/>
        <w:spacing w:line="360" w:lineRule="auto"/>
        <w:ind w:left="560" w:right="620" w:firstLine="420"/>
        <w:rPr>
          <w:b/>
          <w:bCs/>
        </w:rPr>
      </w:pPr>
      <w:r>
        <w:rPr>
          <w:rFonts w:hint="eastAsia"/>
          <w:b/>
          <w:bCs/>
        </w:rPr>
        <w:t>（</w:t>
      </w:r>
      <w:r>
        <w:rPr>
          <w:rFonts w:hint="eastAsia"/>
          <w:b/>
          <w:bCs/>
          <w:lang w:eastAsia="zh-CN"/>
        </w:rPr>
        <w:t>七</w:t>
      </w:r>
      <w:r>
        <w:rPr>
          <w:rFonts w:hint="eastAsia"/>
          <w:b/>
          <w:bCs/>
        </w:rPr>
        <w:t>）存在不符合法律法规规定或未满足招标文件实质性要求的其他事项。</w:t>
      </w:r>
    </w:p>
    <w:p>
      <w:pPr>
        <w:pStyle w:val="12"/>
        <w:spacing w:line="360" w:lineRule="auto"/>
        <w:ind w:left="535" w:leftChars="255" w:firstLine="420" w:firstLineChars="200"/>
        <w:rPr>
          <w:u w:val="single"/>
        </w:rPr>
      </w:pPr>
      <w:r>
        <w:rPr>
          <w:rFonts w:hint="eastAsia"/>
          <w:u w:val="single"/>
        </w:rPr>
        <w:t>评标委员会根据本办法规定否决投标人投标后，如有效投标人不足三个使得投标明显缺乏竞争的，评标委员会可以否决全部投标，招标人应当依法重新招标；若报价具有竞争性，则继续评审。</w:t>
      </w:r>
    </w:p>
    <w:p>
      <w:pPr>
        <w:pStyle w:val="12"/>
        <w:spacing w:line="360" w:lineRule="auto"/>
        <w:ind w:firstLine="915" w:firstLineChars="400"/>
      </w:pPr>
      <w:r>
        <w:rPr>
          <w:rFonts w:hint="eastAsia"/>
          <w:b/>
          <w:bCs/>
          <w:spacing w:val="9"/>
        </w:rPr>
        <w:t>第十一条</w:t>
      </w:r>
      <w:r>
        <w:rPr>
          <w:rFonts w:hint="eastAsia"/>
          <w:spacing w:val="9"/>
        </w:rPr>
        <w:t>评分细则</w:t>
      </w:r>
    </w:p>
    <w:p>
      <w:pPr>
        <w:pStyle w:val="12"/>
        <w:spacing w:line="360" w:lineRule="auto"/>
        <w:ind w:firstLine="1050" w:firstLineChars="500"/>
      </w:pPr>
      <w:r>
        <w:rPr>
          <w:rFonts w:hint="eastAsia"/>
        </w:rPr>
        <w:t>资信技术部分评标要点（</w:t>
      </w:r>
      <w:r>
        <w:rPr>
          <w:rFonts w:hint="eastAsia"/>
          <w:lang w:val="en-US" w:eastAsia="zh-CN"/>
        </w:rPr>
        <w:t>35</w:t>
      </w:r>
      <w:r>
        <w:rPr>
          <w:rFonts w:hint="eastAsia"/>
        </w:rPr>
        <w:t>分）</w:t>
      </w:r>
    </w:p>
    <w:tbl>
      <w:tblPr>
        <w:tblStyle w:val="27"/>
        <w:tblpPr w:leftFromText="180" w:rightFromText="180" w:vertAnchor="text" w:horzAnchor="page" w:tblpX="1142" w:tblpY="346"/>
        <w:tblOverlap w:val="never"/>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34"/>
        <w:gridCol w:w="889"/>
        <w:gridCol w:w="1347"/>
        <w:gridCol w:w="7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3" w:hRule="atLeast"/>
        </w:trPr>
        <w:tc>
          <w:tcPr>
            <w:tcW w:w="679" w:type="pct"/>
            <w:gridSpan w:val="2"/>
            <w:shd w:val="clear" w:color="000000" w:fill="FFFFFF"/>
            <w:tcMar>
              <w:left w:w="108" w:type="dxa"/>
              <w:right w:w="108" w:type="dxa"/>
            </w:tcMar>
            <w:vAlign w:val="center"/>
          </w:tcPr>
          <w:p>
            <w:pPr>
              <w:jc w:val="center"/>
              <w:rPr>
                <w:szCs w:val="21"/>
              </w:rPr>
            </w:pPr>
            <w:r>
              <w:rPr>
                <w:rFonts w:hint="eastAsia"/>
                <w:b/>
                <w:szCs w:val="21"/>
              </w:rPr>
              <w:t>条款号</w:t>
            </w:r>
          </w:p>
        </w:tc>
        <w:tc>
          <w:tcPr>
            <w:tcW w:w="691" w:type="pct"/>
            <w:shd w:val="clear" w:color="000000" w:fill="FFFFFF"/>
            <w:tcMar>
              <w:left w:w="108" w:type="dxa"/>
              <w:right w:w="108" w:type="dxa"/>
            </w:tcMar>
            <w:vAlign w:val="center"/>
          </w:tcPr>
          <w:p>
            <w:pPr>
              <w:jc w:val="center"/>
              <w:rPr>
                <w:szCs w:val="21"/>
              </w:rPr>
            </w:pPr>
            <w:r>
              <w:rPr>
                <w:rFonts w:hint="eastAsia"/>
                <w:b/>
                <w:szCs w:val="21"/>
              </w:rPr>
              <w:t>评审因素</w:t>
            </w:r>
          </w:p>
        </w:tc>
        <w:tc>
          <w:tcPr>
            <w:tcW w:w="3628" w:type="pct"/>
            <w:shd w:val="clear" w:color="000000" w:fill="FFFFFF"/>
            <w:tcMar>
              <w:left w:w="108" w:type="dxa"/>
              <w:right w:w="108" w:type="dxa"/>
            </w:tcMar>
            <w:vAlign w:val="center"/>
          </w:tcPr>
          <w:p>
            <w:pPr>
              <w:jc w:val="center"/>
              <w:rPr>
                <w:szCs w:val="21"/>
              </w:rPr>
            </w:pPr>
            <w:r>
              <w:rPr>
                <w:rFonts w:hint="eastAsia"/>
                <w:b/>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5" w:hRule="atLeast"/>
        </w:trPr>
        <w:tc>
          <w:tcPr>
            <w:tcW w:w="223" w:type="pct"/>
            <w:shd w:val="clear" w:color="000000" w:fill="FFFFFF"/>
            <w:tcMar>
              <w:left w:w="108" w:type="dxa"/>
              <w:right w:w="108" w:type="dxa"/>
            </w:tcMar>
            <w:vAlign w:val="center"/>
          </w:tcPr>
          <w:p>
            <w:pPr>
              <w:jc w:val="center"/>
              <w:rPr>
                <w:rFonts w:hint="eastAsia" w:ascii="宋体" w:hAnsi="宋体" w:eastAsia="宋体" w:cs="宋体"/>
                <w:szCs w:val="21"/>
              </w:rPr>
            </w:pPr>
            <w:r>
              <w:rPr>
                <w:rFonts w:hint="eastAsia" w:ascii="宋体" w:hAnsi="宋体" w:eastAsia="宋体" w:cs="宋体"/>
                <w:szCs w:val="21"/>
              </w:rPr>
              <w:t>1</w:t>
            </w:r>
          </w:p>
        </w:tc>
        <w:tc>
          <w:tcPr>
            <w:tcW w:w="456"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r>
              <w:rPr>
                <w:rFonts w:hint="eastAsia" w:ascii="宋体" w:hAnsi="宋体" w:eastAsia="宋体" w:cs="宋体"/>
                <w:sz w:val="21"/>
                <w:szCs w:val="21"/>
              </w:rPr>
              <w:t>资信部分</w:t>
            </w:r>
          </w:p>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r>
              <w:rPr>
                <w:rFonts w:hint="eastAsia" w:ascii="宋体" w:hAnsi="宋体" w:eastAsia="宋体" w:cs="宋体"/>
                <w:sz w:val="21"/>
                <w:szCs w:val="21"/>
              </w:rPr>
              <w:t>评分标准</w:t>
            </w:r>
          </w:p>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691"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成功案例</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及业绩</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分）</w:t>
            </w:r>
          </w:p>
        </w:tc>
        <w:tc>
          <w:tcPr>
            <w:tcW w:w="3628"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投标人自2018年1月1日至投标截止日止（时间以完工验收证明材料上的时间为准），</w:t>
            </w:r>
            <w:r>
              <w:rPr>
                <w:rFonts w:hint="eastAsia" w:ascii="宋体" w:hAnsi="宋体" w:eastAsia="宋体" w:cs="宋体"/>
                <w:sz w:val="21"/>
                <w:szCs w:val="21"/>
                <w:highlight w:val="none"/>
              </w:rPr>
              <w:t>完成过单项合同金额</w:t>
            </w:r>
            <w:r>
              <w:rPr>
                <w:rFonts w:hint="eastAsia" w:ascii="宋体" w:hAnsi="宋体" w:eastAsia="宋体" w:cs="宋体"/>
                <w:sz w:val="21"/>
                <w:szCs w:val="21"/>
                <w:highlight w:val="none"/>
                <w:u w:val="single"/>
                <w:lang w:val="en-US" w:eastAsia="zh-CN"/>
              </w:rPr>
              <w:t>180</w:t>
            </w:r>
            <w:r>
              <w:rPr>
                <w:rFonts w:hint="eastAsia" w:ascii="宋体" w:hAnsi="宋体" w:eastAsia="宋体" w:cs="宋体"/>
                <w:sz w:val="21"/>
                <w:szCs w:val="21"/>
                <w:highlight w:val="none"/>
              </w:rPr>
              <w:t>万元及以上</w:t>
            </w:r>
            <w:r>
              <w:rPr>
                <w:rFonts w:hint="eastAsia" w:ascii="宋体" w:hAnsi="宋体" w:eastAsia="宋体" w:cs="宋体"/>
                <w:sz w:val="21"/>
                <w:szCs w:val="21"/>
                <w:highlight w:val="none"/>
                <w:lang w:val="en-US" w:eastAsia="zh-CN"/>
              </w:rPr>
              <w:t>厨房设施设备项目</w:t>
            </w:r>
            <w:r>
              <w:rPr>
                <w:rFonts w:hint="eastAsia" w:ascii="宋体" w:hAnsi="宋体" w:eastAsia="宋体" w:cs="宋体"/>
                <w:sz w:val="21"/>
                <w:szCs w:val="21"/>
                <w:highlight w:val="none"/>
              </w:rPr>
              <w:t>业绩，每项得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分。本项最高得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提供：中标通知书、合同和完工验收证明材料复印件。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62" w:hRule="atLeast"/>
        </w:trPr>
        <w:tc>
          <w:tcPr>
            <w:tcW w:w="223" w:type="pct"/>
            <w:vMerge w:val="restart"/>
            <w:shd w:val="clear" w:color="000000" w:fill="FFFFFF"/>
            <w:tcMar>
              <w:left w:w="108" w:type="dxa"/>
              <w:right w:w="108" w:type="dxa"/>
            </w:tcMar>
            <w:vAlign w:val="center"/>
          </w:tcPr>
          <w:p>
            <w:pP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456" w:type="pct"/>
            <w:vMerge w:val="restar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r>
              <w:rPr>
                <w:rFonts w:hint="eastAsia" w:ascii="宋体" w:hAnsi="宋体" w:eastAsia="宋体" w:cs="宋体"/>
                <w:sz w:val="21"/>
                <w:szCs w:val="21"/>
              </w:rPr>
              <w:t>技术部分</w:t>
            </w:r>
          </w:p>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r>
              <w:rPr>
                <w:rFonts w:hint="eastAsia" w:ascii="宋体" w:hAnsi="宋体" w:eastAsia="宋体" w:cs="宋体"/>
                <w:sz w:val="21"/>
                <w:szCs w:val="21"/>
              </w:rPr>
              <w:t>评分标准</w:t>
            </w:r>
          </w:p>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r>
              <w:rPr>
                <w:rFonts w:hint="eastAsia" w:ascii="宋体" w:hAnsi="宋体" w:eastAsia="宋体" w:cs="宋体"/>
                <w:sz w:val="21"/>
                <w:szCs w:val="21"/>
              </w:rPr>
              <w:t>（30分）</w:t>
            </w:r>
          </w:p>
        </w:tc>
        <w:tc>
          <w:tcPr>
            <w:tcW w:w="691"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14:textFill>
                  <w14:solidFill>
                    <w14:schemeClr w14:val="tx1"/>
                  </w14:solidFill>
                </w14:textFill>
              </w:rPr>
            </w:pPr>
            <w:r>
              <w:rPr>
                <w:rFonts w:hint="eastAsia" w:ascii="宋体" w:hAnsi="宋体" w:eastAsia="宋体" w:cs="宋体"/>
                <w:color w:val="000000" w:themeColor="text1"/>
                <w:sz w:val="21"/>
                <w:szCs w:val="21"/>
                <w:highlight w:val="cyan"/>
                <w14:textFill>
                  <w14:solidFill>
                    <w14:schemeClr w14:val="tx1"/>
                  </w14:solidFill>
                </w14:textFill>
              </w:rPr>
              <w:t>技术参数指标响应情况</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highlight w:val="cyan"/>
              </w:rPr>
            </w:pPr>
            <w:r>
              <w:rPr>
                <w:rFonts w:hint="eastAsia" w:ascii="宋体" w:hAnsi="宋体" w:eastAsia="宋体" w:cs="宋体"/>
                <w:color w:val="000000" w:themeColor="text1"/>
                <w:sz w:val="21"/>
                <w:szCs w:val="21"/>
                <w:highlight w:val="cyan"/>
                <w14:textFill>
                  <w14:solidFill>
                    <w14:schemeClr w14:val="tx1"/>
                  </w14:solidFill>
                </w14:textFill>
              </w:rPr>
              <w:t>（</w:t>
            </w:r>
            <w:r>
              <w:rPr>
                <w:rFonts w:hint="eastAsia" w:ascii="宋体" w:hAnsi="宋体" w:eastAsia="宋体" w:cs="宋体"/>
                <w:color w:val="000000" w:themeColor="text1"/>
                <w:sz w:val="21"/>
                <w:szCs w:val="21"/>
                <w:highlight w:val="cyan"/>
                <w:lang w:val="en-US" w:eastAsia="zh-CN"/>
                <w14:textFill>
                  <w14:solidFill>
                    <w14:schemeClr w14:val="tx1"/>
                  </w14:solidFill>
                </w14:textFill>
              </w:rPr>
              <w:t>6</w:t>
            </w:r>
            <w:r>
              <w:rPr>
                <w:rFonts w:hint="eastAsia" w:ascii="宋体" w:hAnsi="宋体" w:eastAsia="宋体" w:cs="宋体"/>
                <w:color w:val="000000" w:themeColor="text1"/>
                <w:sz w:val="21"/>
                <w:szCs w:val="21"/>
                <w:highlight w:val="cyan"/>
                <w14:textFill>
                  <w14:solidFill>
                    <w14:schemeClr w14:val="tx1"/>
                  </w14:solidFill>
                </w14:textFill>
              </w:rPr>
              <w:t>分）</w:t>
            </w:r>
          </w:p>
        </w:tc>
        <w:tc>
          <w:tcPr>
            <w:tcW w:w="3628"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cyan"/>
                <w:lang w:val="zh-CN" w:bidi="zh-CN"/>
              </w:rPr>
            </w:pPr>
            <w:r>
              <w:rPr>
                <w:rFonts w:hint="eastAsia" w:ascii="宋体" w:hAnsi="宋体" w:eastAsia="宋体" w:cs="宋体"/>
                <w:color w:val="000000" w:themeColor="text1"/>
                <w:sz w:val="21"/>
                <w:szCs w:val="21"/>
                <w:highlight w:val="cyan"/>
                <w:lang w:val="en-US" w:eastAsia="zh-CN"/>
                <w14:textFill>
                  <w14:solidFill>
                    <w14:schemeClr w14:val="tx1"/>
                  </w14:solidFill>
                </w14:textFill>
              </w:rPr>
              <w:t>根据投标人所投主要设备性能以及技术参数指标对招标文件的响应、承诺等方面情况由评委进行评议打分，投标人所投设备完全响应招标文件技术规范及要求的得6分。技术要求中技术参数指标有负偏离情况的，每负偏离一项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0" w:hRule="atLeast"/>
        </w:trPr>
        <w:tc>
          <w:tcPr>
            <w:tcW w:w="223" w:type="pct"/>
            <w:vMerge w:val="continue"/>
            <w:shd w:val="clear" w:color="000000" w:fill="FFFFFF"/>
            <w:tcMar>
              <w:left w:w="108" w:type="dxa"/>
              <w:right w:w="108" w:type="dxa"/>
            </w:tcMar>
            <w:vAlign w:val="center"/>
          </w:tcPr>
          <w:p>
            <w:pPr>
              <w:rPr>
                <w:rFonts w:hint="eastAsia" w:ascii="宋体" w:hAnsi="宋体" w:eastAsia="宋体" w:cs="宋体"/>
                <w:szCs w:val="21"/>
                <w:lang w:val="en-US" w:eastAsia="zh-CN"/>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p>
        </w:tc>
        <w:tc>
          <w:tcPr>
            <w:tcW w:w="691" w:type="pct"/>
            <w:vMerge w:val="restar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lang w:val="en-US" w:eastAsia="zh-CN"/>
                <w14:textFill>
                  <w14:solidFill>
                    <w14:schemeClr w14:val="tx1"/>
                  </w14:solidFill>
                </w14:textFill>
              </w:rPr>
            </w:pPr>
            <w:r>
              <w:rPr>
                <w:rFonts w:hint="eastAsia" w:ascii="宋体" w:hAnsi="宋体" w:eastAsia="宋体" w:cs="宋体"/>
                <w:color w:val="000000" w:themeColor="text1"/>
                <w:sz w:val="21"/>
                <w:szCs w:val="21"/>
                <w:highlight w:val="cyan"/>
                <w:lang w:val="en-US" w:eastAsia="zh-CN"/>
                <w14:textFill>
                  <w14:solidFill>
                    <w14:schemeClr w14:val="tx1"/>
                  </w14:solidFill>
                </w14:textFill>
              </w:rPr>
              <w:t>样品（6分）</w:t>
            </w:r>
          </w:p>
        </w:tc>
        <w:tc>
          <w:tcPr>
            <w:tcW w:w="3628"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val="0"/>
                <w:bCs w:val="0"/>
                <w:color w:val="000000" w:themeColor="text1"/>
                <w:sz w:val="21"/>
                <w:szCs w:val="21"/>
                <w:highlight w:val="cyan"/>
                <w:lang w:val="en-US" w:eastAsia="zh-CN" w:bidi="zh-CN"/>
                <w14:textFill>
                  <w14:solidFill>
                    <w14:schemeClr w14:val="tx1"/>
                  </w14:solidFill>
                </w14:textFill>
              </w:rPr>
            </w:pPr>
            <w:r>
              <w:rPr>
                <w:rFonts w:hint="eastAsia" w:ascii="宋体" w:hAnsi="宋体" w:eastAsia="宋体" w:cs="宋体"/>
                <w:b/>
                <w:bCs/>
                <w:color w:val="000000" w:themeColor="text1"/>
                <w:sz w:val="21"/>
                <w:szCs w:val="21"/>
                <w:highlight w:val="cyan"/>
                <w:lang w:val="en-US" w:eastAsia="zh-CN" w:bidi="zh-CN"/>
                <w14:textFill>
                  <w14:solidFill>
                    <w14:schemeClr w14:val="tx1"/>
                  </w14:solidFill>
                </w14:textFill>
              </w:rPr>
              <w:t>实物样品</w:t>
            </w:r>
            <w:r>
              <w:rPr>
                <w:rFonts w:hint="eastAsia" w:ascii="宋体" w:hAnsi="宋体" w:eastAsia="宋体" w:cs="宋体"/>
                <w:b/>
                <w:bCs/>
                <w:color w:val="000000" w:themeColor="text1"/>
                <w:sz w:val="21"/>
                <w:szCs w:val="21"/>
                <w:highlight w:val="cyan"/>
                <w:lang w:val="zh-CN" w:eastAsia="zh-CN" w:bidi="zh-CN"/>
                <w14:textFill>
                  <w14:solidFill>
                    <w14:schemeClr w14:val="tx1"/>
                  </w14:solidFill>
                </w14:textFill>
              </w:rPr>
              <w:t>：</w:t>
            </w:r>
            <w:r>
              <w:rPr>
                <w:rFonts w:hint="eastAsia" w:ascii="宋体" w:hAnsi="宋体" w:eastAsia="宋体" w:cs="宋体"/>
                <w:b w:val="0"/>
                <w:bCs w:val="0"/>
                <w:color w:val="000000" w:themeColor="text1"/>
                <w:sz w:val="21"/>
                <w:szCs w:val="21"/>
                <w:highlight w:val="cyan"/>
                <w:lang w:val="en-US" w:eastAsia="zh-CN" w:bidi="zh-CN"/>
                <w14:textFill>
                  <w14:solidFill>
                    <w14:schemeClr w14:val="tx1"/>
                  </w14:solidFill>
                </w14:textFill>
              </w:rPr>
              <w:t>单星水池1件，具体技术要求详见招标文件投标报价明细表中第41项。</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000000" w:themeColor="text1"/>
                <w:sz w:val="21"/>
                <w:szCs w:val="21"/>
                <w:highlight w:val="cyan"/>
                <w:lang w:val="en-US" w:bidi="zh-CN"/>
                <w14:textFill>
                  <w14:solidFill>
                    <w14:schemeClr w14:val="tx1"/>
                  </w14:solidFill>
                </w14:textFill>
              </w:rPr>
            </w:pPr>
            <w:r>
              <w:rPr>
                <w:rFonts w:hint="eastAsia" w:ascii="宋体" w:hAnsi="宋体" w:eastAsia="宋体" w:cs="宋体"/>
                <w:b/>
                <w:bCs/>
                <w:color w:val="000000" w:themeColor="text1"/>
                <w:sz w:val="21"/>
                <w:szCs w:val="21"/>
                <w:highlight w:val="cyan"/>
                <w:lang w:val="en-US" w:eastAsia="zh-CN" w:bidi="zh-CN"/>
                <w14:textFill>
                  <w14:solidFill>
                    <w14:schemeClr w14:val="tx1"/>
                  </w14:solidFill>
                </w14:textFill>
              </w:rPr>
              <w:t>由评标委员会根据实物样品</w:t>
            </w:r>
            <w:r>
              <w:rPr>
                <w:rFonts w:hint="eastAsia" w:ascii="宋体" w:hAnsi="宋体" w:eastAsia="宋体" w:cs="宋体"/>
                <w:b/>
                <w:bCs/>
                <w:color w:val="auto"/>
                <w:sz w:val="21"/>
                <w:szCs w:val="21"/>
                <w:highlight w:val="cyan"/>
                <w:lang w:val="zh-CN"/>
              </w:rPr>
              <w:t>规格、材质、制作工艺、外观、性能、实用性、先进性</w:t>
            </w:r>
            <w:r>
              <w:rPr>
                <w:rFonts w:hint="eastAsia" w:ascii="宋体" w:hAnsi="宋体" w:eastAsia="宋体" w:cs="宋体"/>
                <w:b/>
                <w:bCs/>
                <w:color w:val="000000" w:themeColor="text1"/>
                <w:sz w:val="21"/>
                <w:szCs w:val="21"/>
                <w:highlight w:val="cyan"/>
                <w:lang w:val="en-US" w:eastAsia="zh-CN" w:bidi="zh-CN"/>
                <w14:textFill>
                  <w14:solidFill>
                    <w14:schemeClr w14:val="tx1"/>
                  </w14:solidFill>
                </w14:textFill>
              </w:rPr>
              <w:t>等方面进行综合打分</w:t>
            </w:r>
            <w:r>
              <w:rPr>
                <w:rFonts w:hint="eastAsia" w:ascii="宋体" w:hAnsi="宋体" w:eastAsia="宋体" w:cs="宋体"/>
                <w:b/>
                <w:bCs/>
                <w:color w:val="000000" w:themeColor="text1"/>
                <w:sz w:val="21"/>
                <w:szCs w:val="21"/>
                <w:highlight w:val="cyan"/>
                <w:lang w:val="zh-CN" w:eastAsia="zh-CN" w:bidi="zh-CN"/>
                <w14:textFill>
                  <w14:solidFill>
                    <w14:schemeClr w14:val="tx1"/>
                  </w14:solidFill>
                </w14:textFill>
              </w:rPr>
              <w:t>。（</w:t>
            </w:r>
            <w:r>
              <w:rPr>
                <w:rFonts w:hint="eastAsia" w:ascii="宋体" w:hAnsi="宋体" w:eastAsia="宋体" w:cs="宋体"/>
                <w:b/>
                <w:bCs/>
                <w:color w:val="000000" w:themeColor="text1"/>
                <w:sz w:val="21"/>
                <w:szCs w:val="21"/>
                <w:highlight w:val="cyan"/>
                <w:lang w:val="en-US" w:eastAsia="zh-CN" w:bidi="zh-CN"/>
                <w14:textFill>
                  <w14:solidFill>
                    <w14:schemeClr w14:val="tx1"/>
                  </w14:solidFill>
                </w14:textFill>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36" w:hRule="atLeast"/>
        </w:trPr>
        <w:tc>
          <w:tcPr>
            <w:tcW w:w="223" w:type="pct"/>
            <w:vMerge w:val="continue"/>
            <w:shd w:val="clear" w:color="000000" w:fill="FFFFFF"/>
            <w:tcMar>
              <w:left w:w="108" w:type="dxa"/>
              <w:right w:w="108" w:type="dxa"/>
            </w:tcMar>
            <w:vAlign w:val="center"/>
          </w:tcPr>
          <w:p>
            <w:pPr>
              <w:rPr>
                <w:rFonts w:hint="eastAsia" w:ascii="宋体" w:hAnsi="宋体" w:eastAsia="宋体" w:cs="宋体"/>
                <w:szCs w:val="21"/>
                <w:lang w:val="en-US" w:eastAsia="zh-CN"/>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99" w:leftChars="-95" w:right="-166" w:rightChars="-79"/>
              <w:jc w:val="center"/>
              <w:textAlignment w:val="auto"/>
              <w:rPr>
                <w:rFonts w:hint="eastAsia" w:ascii="宋体" w:hAnsi="宋体" w:eastAsia="宋体" w:cs="宋体"/>
                <w:sz w:val="21"/>
                <w:szCs w:val="21"/>
              </w:rPr>
            </w:pPr>
          </w:p>
        </w:tc>
        <w:tc>
          <w:tcPr>
            <w:tcW w:w="691"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sz w:val="21"/>
                <w:szCs w:val="21"/>
                <w:highlight w:val="cyan"/>
                <w:lang w:val="en-US" w:eastAsia="zh-CN"/>
                <w14:textFill>
                  <w14:solidFill>
                    <w14:schemeClr w14:val="tx1"/>
                  </w14:solidFill>
                </w14:textFill>
              </w:rPr>
            </w:pPr>
          </w:p>
        </w:tc>
        <w:tc>
          <w:tcPr>
            <w:tcW w:w="3628"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cyan"/>
              </w:rPr>
            </w:pPr>
            <w:r>
              <w:rPr>
                <w:rFonts w:hint="eastAsia" w:ascii="宋体" w:hAnsi="宋体" w:eastAsia="宋体" w:cs="宋体"/>
                <w:b/>
                <w:bCs/>
                <w:i w:val="0"/>
                <w:iCs w:val="0"/>
                <w:color w:val="000000"/>
                <w:kern w:val="0"/>
                <w:sz w:val="21"/>
                <w:szCs w:val="21"/>
                <w:highlight w:val="cyan"/>
                <w:u w:val="none"/>
                <w:lang w:val="en-US" w:eastAsia="zh-CN" w:bidi="ar"/>
              </w:rPr>
              <w:t>视频展示样品：</w:t>
            </w:r>
            <w:r>
              <w:rPr>
                <w:rFonts w:hint="eastAsia" w:ascii="宋体" w:hAnsi="宋体" w:eastAsia="宋体" w:cs="宋体"/>
                <w:i w:val="0"/>
                <w:iCs w:val="0"/>
                <w:color w:val="000000"/>
                <w:kern w:val="0"/>
                <w:sz w:val="21"/>
                <w:szCs w:val="21"/>
                <w:highlight w:val="cyan"/>
                <w:u w:val="none"/>
                <w:lang w:val="en-US" w:eastAsia="zh-CN" w:bidi="ar"/>
              </w:rPr>
              <w:t>双头大锅灶、三门海鲜蒸柜(燃气)、热风循环（光波）消毒柜、电热推车蒸柜</w:t>
            </w:r>
            <w:r>
              <w:rPr>
                <w:rFonts w:hint="eastAsia" w:ascii="宋体" w:hAnsi="宋体" w:eastAsia="宋体" w:cs="宋体"/>
                <w:color w:val="auto"/>
                <w:sz w:val="21"/>
                <w:szCs w:val="21"/>
                <w:highlight w:val="cyan"/>
              </w:rPr>
              <w:t>（</w:t>
            </w:r>
            <w:r>
              <w:rPr>
                <w:rFonts w:hint="eastAsia" w:ascii="宋体" w:hAnsi="宋体" w:eastAsia="宋体" w:cs="宋体"/>
                <w:color w:val="auto"/>
                <w:sz w:val="21"/>
                <w:szCs w:val="21"/>
                <w:highlight w:val="cyan"/>
                <w:lang w:val="en-US" w:eastAsia="zh-CN"/>
              </w:rPr>
              <w:t>具体技术要求</w:t>
            </w:r>
            <w:r>
              <w:rPr>
                <w:rFonts w:hint="eastAsia" w:ascii="宋体" w:hAnsi="宋体" w:eastAsia="宋体" w:cs="宋体"/>
                <w:color w:val="auto"/>
                <w:sz w:val="21"/>
                <w:szCs w:val="21"/>
                <w:highlight w:val="cyan"/>
              </w:rPr>
              <w:t>详见</w:t>
            </w:r>
            <w:r>
              <w:rPr>
                <w:rFonts w:hint="eastAsia" w:ascii="宋体" w:hAnsi="宋体" w:eastAsia="宋体" w:cs="宋体"/>
                <w:color w:val="auto"/>
                <w:sz w:val="21"/>
                <w:szCs w:val="21"/>
                <w:highlight w:val="cyan"/>
                <w:lang w:val="en-US" w:eastAsia="zh-CN"/>
              </w:rPr>
              <w:t>招标文件投标报价明细表</w:t>
            </w:r>
            <w:r>
              <w:rPr>
                <w:rFonts w:hint="eastAsia" w:ascii="宋体" w:hAnsi="宋体" w:eastAsia="宋体" w:cs="宋体"/>
                <w:color w:val="auto"/>
                <w:sz w:val="21"/>
                <w:szCs w:val="21"/>
                <w:highlight w:val="cyan"/>
              </w:rPr>
              <w:t>）</w:t>
            </w:r>
            <w:r>
              <w:rPr>
                <w:rFonts w:hint="eastAsia" w:ascii="宋体" w:hAnsi="宋体" w:eastAsia="宋体" w:cs="宋体"/>
                <w:color w:val="auto"/>
                <w:sz w:val="21"/>
                <w:szCs w:val="21"/>
                <w:highlight w:val="cyan"/>
                <w:lang w:eastAsia="zh-CN"/>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000000" w:themeColor="text1"/>
                <w:sz w:val="21"/>
                <w:szCs w:val="21"/>
                <w:highlight w:val="cyan"/>
                <w:lang w:val="en-US" w:bidi="zh-CN"/>
                <w14:textFill>
                  <w14:solidFill>
                    <w14:schemeClr w14:val="tx1"/>
                  </w14:solidFill>
                </w14:textFill>
              </w:rPr>
            </w:pPr>
            <w:r>
              <w:rPr>
                <w:rFonts w:hint="eastAsia" w:ascii="宋体" w:hAnsi="宋体" w:eastAsia="宋体" w:cs="宋体"/>
                <w:b/>
                <w:bCs/>
                <w:color w:val="auto"/>
                <w:sz w:val="21"/>
                <w:szCs w:val="21"/>
                <w:highlight w:val="cyan"/>
                <w:lang w:val="en-US" w:eastAsia="zh-CN"/>
              </w:rPr>
              <w:t>说明：</w:t>
            </w:r>
            <w:r>
              <w:rPr>
                <w:rFonts w:hint="eastAsia" w:ascii="宋体" w:hAnsi="宋体" w:eastAsia="宋体" w:cs="宋体"/>
                <w:b/>
                <w:bCs/>
                <w:color w:val="auto"/>
                <w:sz w:val="21"/>
                <w:szCs w:val="21"/>
                <w:highlight w:val="cyan"/>
                <w:lang w:val="zh-CN"/>
              </w:rPr>
              <w:t>样品通过拍摄实物视频方式提交，视频要求有实物全方位展示和样品技术要点解说（人声解说）。由</w:t>
            </w:r>
            <w:r>
              <w:rPr>
                <w:rFonts w:hint="eastAsia" w:ascii="宋体" w:hAnsi="宋体" w:eastAsia="宋体" w:cs="宋体"/>
                <w:b/>
                <w:bCs/>
                <w:color w:val="auto"/>
                <w:sz w:val="21"/>
                <w:szCs w:val="21"/>
                <w:highlight w:val="cyan"/>
                <w:lang w:val="en-US" w:eastAsia="zh-CN"/>
              </w:rPr>
              <w:t>评标专家</w:t>
            </w:r>
            <w:r>
              <w:rPr>
                <w:rFonts w:hint="eastAsia" w:ascii="宋体" w:hAnsi="宋体" w:eastAsia="宋体" w:cs="宋体"/>
                <w:b/>
                <w:bCs/>
                <w:color w:val="auto"/>
                <w:sz w:val="21"/>
                <w:szCs w:val="21"/>
                <w:highlight w:val="cyan"/>
                <w:lang w:val="zh-CN"/>
              </w:rPr>
              <w:t>从投标样品的规格、材质、制作工艺、外观、性能、</w:t>
            </w:r>
            <w:r>
              <w:rPr>
                <w:rFonts w:hint="eastAsia" w:ascii="宋体" w:hAnsi="宋体" w:eastAsia="宋体" w:cs="宋体"/>
                <w:b/>
                <w:bCs/>
                <w:color w:val="auto"/>
                <w:sz w:val="21"/>
                <w:szCs w:val="21"/>
                <w:highlight w:val="cyan"/>
                <w:lang w:val="en-US" w:eastAsia="zh-CN"/>
              </w:rPr>
              <w:t>操作</w:t>
            </w:r>
            <w:r>
              <w:rPr>
                <w:rFonts w:hint="eastAsia" w:ascii="宋体" w:hAnsi="宋体" w:eastAsia="宋体" w:cs="宋体"/>
                <w:b/>
                <w:bCs/>
                <w:color w:val="auto"/>
                <w:sz w:val="21"/>
                <w:szCs w:val="21"/>
                <w:highlight w:val="cyan"/>
                <w:lang w:val="zh-CN"/>
              </w:rPr>
              <w:t>实用性、先进性、节能环保以及零部件的品质等方面进行综合评分。未提供样品视频或提供的样品视频非</w:t>
            </w:r>
            <w:r>
              <w:rPr>
                <w:rFonts w:hint="eastAsia" w:ascii="宋体" w:hAnsi="宋体" w:eastAsia="宋体" w:cs="宋体"/>
                <w:b/>
                <w:bCs/>
                <w:color w:val="auto"/>
                <w:sz w:val="21"/>
                <w:szCs w:val="21"/>
                <w:highlight w:val="cyan"/>
                <w:lang w:val="en-US" w:eastAsia="zh-CN"/>
              </w:rPr>
              <w:t>投标产品</w:t>
            </w:r>
            <w:r>
              <w:rPr>
                <w:rFonts w:hint="eastAsia" w:ascii="宋体" w:hAnsi="宋体" w:eastAsia="宋体" w:cs="宋体"/>
                <w:b/>
                <w:bCs/>
                <w:color w:val="auto"/>
                <w:sz w:val="21"/>
                <w:szCs w:val="21"/>
                <w:highlight w:val="cyan"/>
                <w:lang w:val="zh-CN"/>
              </w:rPr>
              <w:t>实物视频的，得0分，视频无人声解说的酌情扣分。（0-</w:t>
            </w:r>
            <w:r>
              <w:rPr>
                <w:rFonts w:hint="eastAsia" w:ascii="宋体" w:hAnsi="宋体" w:eastAsia="宋体" w:cs="宋体"/>
                <w:b/>
                <w:bCs/>
                <w:color w:val="auto"/>
                <w:sz w:val="21"/>
                <w:szCs w:val="21"/>
                <w:highlight w:val="cyan"/>
                <w:lang w:val="en-US" w:eastAsia="zh-CN"/>
              </w:rPr>
              <w:t>4</w:t>
            </w:r>
            <w:r>
              <w:rPr>
                <w:rFonts w:hint="eastAsia" w:ascii="宋体" w:hAnsi="宋体" w:eastAsia="宋体" w:cs="宋体"/>
                <w:b/>
                <w:bCs/>
                <w:color w:val="auto"/>
                <w:sz w:val="21"/>
                <w:szCs w:val="21"/>
                <w:highlight w:val="cyan"/>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72" w:hRule="atLeast"/>
        </w:trPr>
        <w:tc>
          <w:tcPr>
            <w:tcW w:w="223" w:type="pct"/>
            <w:vMerge w:val="continue"/>
            <w:shd w:val="clear" w:color="000000" w:fill="FFFFFF"/>
            <w:tcMar>
              <w:left w:w="108" w:type="dxa"/>
              <w:right w:w="108" w:type="dxa"/>
            </w:tcMar>
            <w:vAlign w:val="center"/>
          </w:tcPr>
          <w:p>
            <w:pPr>
              <w:jc w:val="center"/>
              <w:rPr>
                <w:rFonts w:hint="eastAsia" w:ascii="宋体" w:hAnsi="宋体" w:eastAsia="宋体" w:cs="宋体"/>
                <w:szCs w:val="21"/>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68" w:leftChars="-80" w:right="-105" w:rightChars="-50"/>
              <w:jc w:val="center"/>
              <w:textAlignment w:val="auto"/>
              <w:rPr>
                <w:rFonts w:hint="eastAsia" w:ascii="宋体" w:hAnsi="宋体" w:eastAsia="宋体" w:cs="宋体"/>
                <w:sz w:val="21"/>
                <w:szCs w:val="21"/>
              </w:rPr>
            </w:pPr>
          </w:p>
        </w:tc>
        <w:tc>
          <w:tcPr>
            <w:tcW w:w="691" w:type="pct"/>
            <w:vMerge w:val="restar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项目实施方案及技术措施（</w:t>
            </w:r>
            <w:r>
              <w:rPr>
                <w:rFonts w:hint="eastAsia" w:ascii="宋体" w:hAnsi="宋体" w:eastAsia="宋体" w:cs="宋体"/>
                <w:sz w:val="21"/>
                <w:szCs w:val="21"/>
                <w:lang w:val="en-US" w:eastAsia="zh-CN"/>
              </w:rPr>
              <w:t>10</w:t>
            </w:r>
            <w:r>
              <w:rPr>
                <w:rFonts w:hint="eastAsia" w:ascii="宋体" w:hAnsi="宋体" w:eastAsia="宋体" w:cs="宋体"/>
                <w:sz w:val="21"/>
                <w:szCs w:val="21"/>
              </w:rPr>
              <w:t>分）</w:t>
            </w:r>
          </w:p>
        </w:tc>
        <w:tc>
          <w:tcPr>
            <w:tcW w:w="3628" w:type="pct"/>
            <w:shd w:val="clear" w:color="000000" w:fill="FFFFFF"/>
            <w:tcMar>
              <w:left w:w="108" w:type="dxa"/>
              <w:right w:w="108" w:type="dxa"/>
            </w:tcMar>
          </w:tcPr>
          <w:p>
            <w:pPr>
              <w:pStyle w:val="10"/>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kern w:val="2"/>
                <w:sz w:val="21"/>
                <w:szCs w:val="21"/>
                <w:lang w:val="zh-CN" w:eastAsia="zh-CN" w:bidi="ar-SA"/>
              </w:rPr>
            </w:pPr>
            <w:r>
              <w:rPr>
                <w:rFonts w:hint="eastAsia" w:ascii="宋体" w:hAnsi="宋体" w:eastAsia="宋体" w:cs="宋体"/>
                <w:kern w:val="2"/>
                <w:sz w:val="21"/>
                <w:szCs w:val="21"/>
                <w:lang w:val="en-US" w:eastAsia="zh-CN" w:bidi="ar-SA"/>
              </w:rPr>
              <w:t>针对本项目编制的组织结构、班组人员配备（含专业技术人员）、劳动力计划安排，以及拟投入的机械设备及材料安排等实施方案；（2分）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4" w:hRule="atLeast"/>
        </w:trPr>
        <w:tc>
          <w:tcPr>
            <w:tcW w:w="223" w:type="pct"/>
            <w:vMerge w:val="continue"/>
            <w:shd w:val="clear" w:color="000000" w:fill="FFFFFF"/>
            <w:tcMar>
              <w:left w:w="108" w:type="dxa"/>
              <w:right w:w="108" w:type="dxa"/>
            </w:tcMar>
            <w:vAlign w:val="center"/>
          </w:tcPr>
          <w:p>
            <w:pPr>
              <w:jc w:val="center"/>
              <w:rPr>
                <w:rFonts w:hint="eastAsia" w:ascii="宋体" w:hAnsi="宋体" w:eastAsia="宋体" w:cs="宋体"/>
                <w:szCs w:val="21"/>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68" w:leftChars="-80" w:right="-105" w:rightChars="-50"/>
              <w:jc w:val="center"/>
              <w:textAlignment w:val="auto"/>
              <w:rPr>
                <w:rFonts w:hint="eastAsia" w:ascii="宋体" w:hAnsi="宋体" w:eastAsia="宋体" w:cs="宋体"/>
                <w:sz w:val="21"/>
                <w:szCs w:val="21"/>
              </w:rPr>
            </w:pPr>
          </w:p>
        </w:tc>
        <w:tc>
          <w:tcPr>
            <w:tcW w:w="691"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p>
        </w:tc>
        <w:tc>
          <w:tcPr>
            <w:tcW w:w="3628" w:type="pct"/>
            <w:shd w:val="clear" w:color="000000" w:fill="FFFFFF"/>
            <w:tcMar>
              <w:left w:w="108" w:type="dxa"/>
              <w:right w:w="108" w:type="dxa"/>
            </w:tcMa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zh-CN"/>
              </w:rPr>
            </w:pPr>
            <w:r>
              <w:rPr>
                <w:rFonts w:hint="eastAsia" w:ascii="宋体" w:hAnsi="宋体" w:eastAsia="宋体" w:cs="宋体"/>
                <w:sz w:val="21"/>
                <w:szCs w:val="21"/>
              </w:rPr>
              <w:t>针对本项目实施计划及工期保证措施、安全生产保证措施、文明施工和环境保护措施的科学、合理、全面、有针对性；（</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77" w:hRule="atLeast"/>
        </w:trPr>
        <w:tc>
          <w:tcPr>
            <w:tcW w:w="223" w:type="pct"/>
            <w:vMerge w:val="continue"/>
            <w:shd w:val="clear" w:color="000000" w:fill="FFFFFF"/>
            <w:tcMar>
              <w:left w:w="108" w:type="dxa"/>
              <w:right w:w="108" w:type="dxa"/>
            </w:tcMar>
            <w:vAlign w:val="center"/>
          </w:tcPr>
          <w:p>
            <w:pPr>
              <w:jc w:val="center"/>
              <w:rPr>
                <w:rFonts w:hint="eastAsia" w:ascii="宋体" w:hAnsi="宋体" w:eastAsia="宋体" w:cs="宋体"/>
                <w:szCs w:val="21"/>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ind w:left="-168" w:leftChars="-80" w:right="-105" w:rightChars="-50"/>
              <w:jc w:val="center"/>
              <w:textAlignment w:val="auto"/>
              <w:rPr>
                <w:rFonts w:hint="eastAsia" w:ascii="宋体" w:hAnsi="宋体" w:eastAsia="宋体" w:cs="宋体"/>
                <w:sz w:val="21"/>
                <w:szCs w:val="21"/>
              </w:rPr>
            </w:pPr>
          </w:p>
        </w:tc>
        <w:tc>
          <w:tcPr>
            <w:tcW w:w="691"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p>
        </w:tc>
        <w:tc>
          <w:tcPr>
            <w:tcW w:w="3628" w:type="pct"/>
            <w:shd w:val="clear" w:color="000000" w:fill="FFFFFF"/>
            <w:tcMar>
              <w:left w:w="108" w:type="dxa"/>
              <w:right w:w="108" w:type="dxa"/>
            </w:tcMa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lang w:val="zh-CN"/>
              </w:rPr>
            </w:pPr>
            <w:r>
              <w:rPr>
                <w:rFonts w:hint="eastAsia" w:ascii="宋体" w:hAnsi="宋体" w:eastAsia="宋体" w:cs="宋体"/>
                <w:sz w:val="21"/>
                <w:szCs w:val="21"/>
              </w:rPr>
              <w:t>针对本项目实施总体安装、调试、验收方案，包括但不限于安装技术实施方案、实施质量目标及保证措施、安装调试质量检测手段、验收方案及验收标准等；（</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0" w:hRule="atLeast"/>
        </w:trPr>
        <w:tc>
          <w:tcPr>
            <w:tcW w:w="223" w:type="pct"/>
            <w:vMerge w:val="continue"/>
            <w:shd w:val="clear" w:color="000000" w:fill="FFFFFF"/>
            <w:tcMar>
              <w:left w:w="108" w:type="dxa"/>
              <w:right w:w="108" w:type="dxa"/>
            </w:tcMar>
            <w:vAlign w:val="center"/>
          </w:tcPr>
          <w:p>
            <w:pPr>
              <w:rPr>
                <w:rFonts w:hint="eastAsia" w:ascii="宋体" w:hAnsi="宋体" w:eastAsia="宋体" w:cs="宋体"/>
                <w:szCs w:val="21"/>
                <w:lang w:eastAsia="zh-CN"/>
              </w:rPr>
            </w:pPr>
            <w:r>
              <w:rPr>
                <w:rFonts w:hint="eastAsia" w:ascii="宋体" w:hAnsi="宋体" w:eastAsia="宋体" w:cs="宋体"/>
                <w:szCs w:val="21"/>
                <w:lang w:eastAsia="zh-CN"/>
              </w:rPr>
              <w:t>及</w:t>
            </w: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691"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质保期</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tc>
        <w:tc>
          <w:tcPr>
            <w:tcW w:w="3628" w:type="pct"/>
            <w:shd w:val="clear" w:color="000000" w:fill="FFFFFF"/>
            <w:tcMar>
              <w:left w:w="108" w:type="dxa"/>
              <w:right w:w="108" w:type="dxa"/>
            </w:tcMar>
          </w:tcPr>
          <w:p>
            <w:pPr>
              <w:pStyle w:val="12"/>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招标文件规定质保期最少为24个月，满足最低质保期要求外，每增加12个月得</w:t>
            </w:r>
            <w:r>
              <w:rPr>
                <w:rFonts w:hint="eastAsia" w:ascii="宋体" w:hAnsi="宋体" w:eastAsia="宋体" w:cs="宋体"/>
                <w:sz w:val="21"/>
                <w:szCs w:val="21"/>
                <w:lang w:val="en-US" w:eastAsia="zh-CN"/>
              </w:rPr>
              <w:t>2</w:t>
            </w:r>
            <w:r>
              <w:rPr>
                <w:rFonts w:hint="eastAsia" w:ascii="宋体" w:hAnsi="宋体" w:eastAsia="宋体" w:cs="宋体"/>
                <w:sz w:val="21"/>
                <w:szCs w:val="21"/>
              </w:rPr>
              <w:t>分，本项最高得</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p>
            <w:pPr>
              <w:pStyle w:val="25"/>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eastAsia" w:ascii="宋体" w:hAnsi="宋体" w:eastAsia="宋体" w:cs="宋体"/>
                <w:sz w:val="21"/>
                <w:szCs w:val="21"/>
              </w:rPr>
            </w:pPr>
            <w:r>
              <w:rPr>
                <w:rFonts w:hint="eastAsia" w:ascii="宋体" w:hAnsi="宋体" w:eastAsia="宋体" w:cs="宋体"/>
                <w:b/>
                <w:bCs/>
                <w:color w:val="000000" w:themeColor="text1"/>
                <w:sz w:val="21"/>
                <w:szCs w:val="21"/>
                <w:highlight w:val="none"/>
                <w14:textFill>
                  <w14:solidFill>
                    <w14:schemeClr w14:val="tx1"/>
                  </w14:solidFill>
                </w14:textFill>
              </w:rPr>
              <w:t>注：评分以投标人承诺的质保期为准，增加不足12个月的不计分。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trPr>
        <w:tc>
          <w:tcPr>
            <w:tcW w:w="223" w:type="pct"/>
            <w:vMerge w:val="continue"/>
            <w:shd w:val="clear" w:color="000000" w:fill="FFFFFF"/>
            <w:tcMar>
              <w:left w:w="108" w:type="dxa"/>
              <w:right w:w="108" w:type="dxa"/>
            </w:tcMar>
            <w:vAlign w:val="center"/>
          </w:tcPr>
          <w:p>
            <w:pPr>
              <w:rPr>
                <w:rFonts w:hint="eastAsia" w:ascii="宋体" w:hAnsi="宋体" w:eastAsia="宋体" w:cs="宋体"/>
                <w:szCs w:val="21"/>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691"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售后服务</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方案</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分）</w:t>
            </w:r>
          </w:p>
        </w:tc>
        <w:tc>
          <w:tcPr>
            <w:tcW w:w="3628" w:type="pct"/>
            <w:shd w:val="clear" w:color="000000" w:fill="FFFFFF"/>
            <w:tcMar>
              <w:left w:w="108" w:type="dxa"/>
              <w:right w:w="108" w:type="dxa"/>
            </w:tcMar>
            <w:vAlign w:val="center"/>
          </w:tcPr>
          <w:p>
            <w:pPr>
              <w:pStyle w:val="10"/>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r>
              <w:rPr>
                <w:rFonts w:hint="eastAsia" w:ascii="宋体" w:hAnsi="宋体" w:eastAsia="宋体" w:cs="宋体"/>
                <w:sz w:val="21"/>
                <w:szCs w:val="21"/>
              </w:rPr>
              <w:t>根据投标人提供的售后服务方案（包含售后服务响应方案及措施，维护人员的履历经验，</w:t>
            </w:r>
            <w:r>
              <w:rPr>
                <w:rFonts w:hint="eastAsia" w:ascii="宋体" w:hAnsi="宋体" w:eastAsia="宋体" w:cs="宋体"/>
                <w:sz w:val="21"/>
                <w:szCs w:val="21"/>
                <w:highlight w:val="none"/>
              </w:rPr>
              <w:t>材料、辅助材料、专用工具、备品备件及易耗件价格</w:t>
            </w:r>
            <w:r>
              <w:rPr>
                <w:rFonts w:hint="eastAsia" w:ascii="宋体" w:hAnsi="宋体" w:eastAsia="宋体" w:cs="宋体"/>
                <w:sz w:val="21"/>
                <w:szCs w:val="21"/>
              </w:rPr>
              <w:t>等）的合理性、优越性</w:t>
            </w:r>
            <w:r>
              <w:rPr>
                <w:rFonts w:hint="eastAsia" w:ascii="宋体" w:hAnsi="宋体" w:eastAsia="宋体" w:cs="宋体"/>
                <w:sz w:val="21"/>
                <w:szCs w:val="21"/>
                <w:lang w:eastAsia="zh-CN"/>
              </w:rPr>
              <w:t>、</w:t>
            </w:r>
            <w:r>
              <w:rPr>
                <w:rFonts w:hint="eastAsia" w:ascii="宋体" w:hAnsi="宋体" w:eastAsia="宋体" w:cs="宋体"/>
                <w:color w:val="auto"/>
                <w:sz w:val="21"/>
                <w:szCs w:val="21"/>
                <w:highlight w:val="none"/>
                <w:lang w:eastAsia="zh-CN"/>
              </w:rPr>
              <w:t>及时性</w:t>
            </w: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44" w:hRule="atLeast"/>
        </w:trPr>
        <w:tc>
          <w:tcPr>
            <w:tcW w:w="223" w:type="pct"/>
            <w:vMerge w:val="continue"/>
            <w:shd w:val="clear" w:color="000000" w:fill="FFFFFF"/>
            <w:tcMar>
              <w:left w:w="108" w:type="dxa"/>
              <w:right w:w="108" w:type="dxa"/>
            </w:tcMar>
            <w:vAlign w:val="center"/>
          </w:tcPr>
          <w:p>
            <w:pPr>
              <w:rPr>
                <w:rFonts w:hint="eastAsia" w:ascii="宋体" w:hAnsi="宋体" w:eastAsia="宋体" w:cs="宋体"/>
                <w:szCs w:val="21"/>
              </w:rPr>
            </w:pPr>
          </w:p>
        </w:tc>
        <w:tc>
          <w:tcPr>
            <w:tcW w:w="456" w:type="pct"/>
            <w:vMerge w:val="continue"/>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rPr>
            </w:pPr>
          </w:p>
        </w:tc>
        <w:tc>
          <w:tcPr>
            <w:tcW w:w="691" w:type="pct"/>
            <w:shd w:val="clear" w:color="000000" w:fill="FFFFFF"/>
            <w:tcMar>
              <w:left w:w="108"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标书质量</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（1分）</w:t>
            </w:r>
          </w:p>
        </w:tc>
        <w:tc>
          <w:tcPr>
            <w:tcW w:w="3628" w:type="pct"/>
            <w:shd w:val="clear" w:color="000000" w:fill="FFFFFF"/>
            <w:tcMar>
              <w:left w:w="108" w:type="dxa"/>
              <w:right w:w="108" w:type="dxa"/>
            </w:tcMar>
            <w:vAlign w:val="center"/>
          </w:tcPr>
          <w:p>
            <w:pPr>
              <w:pStyle w:val="9"/>
              <w:keepNext w:val="0"/>
              <w:keepLines w:val="0"/>
              <w:pageBreakBefore w:val="0"/>
              <w:widowControl w:val="0"/>
              <w:kinsoku/>
              <w:wordWrap/>
              <w:overflowPunct/>
              <w:topLinePunct w:val="0"/>
              <w:autoSpaceDE/>
              <w:autoSpaceDN/>
              <w:bidi w:val="0"/>
              <w:adjustRightInd/>
              <w:snapToGrid/>
              <w:spacing w:before="100" w:after="100" w:line="320" w:lineRule="exact"/>
              <w:jc w:val="left"/>
              <w:textAlignment w:val="auto"/>
              <w:rPr>
                <w:rFonts w:hint="eastAsia" w:ascii="宋体" w:hAnsi="宋体" w:eastAsia="宋体" w:cs="宋体"/>
                <w:sz w:val="21"/>
                <w:szCs w:val="21"/>
              </w:rPr>
            </w:pPr>
            <w:r>
              <w:rPr>
                <w:rFonts w:hint="eastAsia" w:ascii="宋体" w:hAnsi="宋体" w:eastAsia="宋体" w:cs="宋体"/>
                <w:sz w:val="21"/>
                <w:szCs w:val="21"/>
              </w:rPr>
              <w:t>投标人投标文件的完整性、条理性、规范性等。</w:t>
            </w:r>
          </w:p>
        </w:tc>
      </w:tr>
    </w:tbl>
    <w:p>
      <w:pPr>
        <w:pStyle w:val="12"/>
        <w:widowControl/>
        <w:autoSpaceDE/>
        <w:autoSpaceDN/>
        <w:spacing w:before="194" w:beforeLines="81" w:line="360" w:lineRule="auto"/>
        <w:ind w:left="535" w:leftChars="255" w:right="57" w:rightChars="27" w:firstLine="420" w:firstLineChars="200"/>
      </w:pPr>
      <w:r>
        <w:rPr>
          <w:rFonts w:hint="eastAsia"/>
        </w:rPr>
        <w:t>评标委员会成员按上述分值标准各自独立打分，分值汇总时（若评分表中某项评分超出评分范围，则该份评分表作废），各评委评分累计后的算术平均值即为资信技术部分最终得分，保留两位小数。资信分为客观分，也需独立进行评价并核对分值，最终分值需一致。</w:t>
      </w:r>
    </w:p>
    <w:p>
      <w:pPr>
        <w:pStyle w:val="12"/>
        <w:spacing w:line="360" w:lineRule="auto"/>
        <w:ind w:left="980"/>
      </w:pPr>
      <w:r>
        <w:rPr>
          <w:rFonts w:hint="eastAsia"/>
          <w:b/>
          <w:bCs/>
        </w:rPr>
        <w:t>第十二条</w:t>
      </w:r>
      <w:r>
        <w:rPr>
          <w:rFonts w:hint="eastAsia"/>
        </w:rPr>
        <w:t xml:space="preserve"> 商务标符合性评审</w:t>
      </w:r>
    </w:p>
    <w:p>
      <w:pPr>
        <w:pStyle w:val="12"/>
        <w:spacing w:line="360" w:lineRule="auto"/>
        <w:ind w:left="980"/>
      </w:pPr>
      <w:r>
        <w:rPr>
          <w:rFonts w:hint="eastAsia"/>
        </w:rPr>
        <w:t>评标委员会对商务部分进行符合性评审。存在下列情况之一的，评标委员会应当否决其投标</w:t>
      </w:r>
      <w:r>
        <w:rPr>
          <w:rFonts w:hint="eastAsia"/>
          <w:w w:val="95"/>
        </w:rPr>
        <w:t>：</w:t>
      </w:r>
    </w:p>
    <w:p>
      <w:pPr>
        <w:pStyle w:val="12"/>
        <w:spacing w:line="360" w:lineRule="auto"/>
        <w:ind w:left="560" w:right="626" w:firstLine="420"/>
      </w:pPr>
      <w:r>
        <w:rPr>
          <w:rFonts w:hint="eastAsia"/>
        </w:rPr>
        <w:t>（一）投标文件既无投标单位盖章，又无投标单位负责人签字或盖章，也无投标单位负责人授权的代理人签字或盖章的；</w:t>
      </w:r>
    </w:p>
    <w:p>
      <w:pPr>
        <w:pStyle w:val="12"/>
        <w:spacing w:line="360" w:lineRule="auto"/>
        <w:ind w:left="560" w:right="210" w:rightChars="100" w:firstLine="420"/>
      </w:pPr>
      <w:r>
        <w:rPr>
          <w:rFonts w:hint="eastAsia"/>
        </w:rPr>
        <w:t>（二）投标文件存在涂改或行间插字等修改处没有投标文件签字人签字证明或加盖单位公章的；</w:t>
      </w:r>
    </w:p>
    <w:p>
      <w:pPr>
        <w:pStyle w:val="12"/>
        <w:spacing w:line="360" w:lineRule="auto"/>
        <w:ind w:left="560" w:right="210" w:rightChars="100" w:firstLine="420"/>
      </w:pPr>
      <w:r>
        <w:rPr>
          <w:rFonts w:hint="eastAsia"/>
        </w:rPr>
        <w:t>（三）投标报价存在明显算术错误，按以下原则对投标报价进行修正，修正的价格经投标人书面确认后具有约束力。投标人不接受修正价格的，其投标作废标处理。</w:t>
      </w:r>
    </w:p>
    <w:p>
      <w:pPr>
        <w:pStyle w:val="62"/>
        <w:numPr>
          <w:ilvl w:val="0"/>
          <w:numId w:val="14"/>
        </w:numPr>
        <w:tabs>
          <w:tab w:val="left" w:pos="1192"/>
        </w:tabs>
        <w:spacing w:line="360" w:lineRule="auto"/>
        <w:rPr>
          <w:sz w:val="21"/>
          <w:szCs w:val="21"/>
        </w:rPr>
      </w:pPr>
      <w:r>
        <w:rPr>
          <w:rFonts w:hint="eastAsia"/>
          <w:sz w:val="21"/>
          <w:szCs w:val="21"/>
        </w:rPr>
        <w:t>投标文件中的大写金额与小写金额不一致的，以大写金额为准；</w:t>
      </w:r>
    </w:p>
    <w:p>
      <w:pPr>
        <w:pStyle w:val="62"/>
        <w:numPr>
          <w:ilvl w:val="0"/>
          <w:numId w:val="14"/>
        </w:numPr>
        <w:tabs>
          <w:tab w:val="left" w:pos="1192"/>
        </w:tabs>
        <w:spacing w:line="360" w:lineRule="auto"/>
        <w:ind w:left="612" w:firstLine="367"/>
        <w:rPr>
          <w:sz w:val="21"/>
          <w:szCs w:val="21"/>
        </w:rPr>
      </w:pPr>
      <w:r>
        <w:rPr>
          <w:rFonts w:hint="eastAsia"/>
          <w:sz w:val="21"/>
          <w:szCs w:val="21"/>
        </w:rPr>
        <w:t>总价金额与依据单价计算出的结果不一致的，以单价金额为准修正总价，但单价金额小数点有明显错误的除外；</w:t>
      </w:r>
    </w:p>
    <w:p>
      <w:pPr>
        <w:pStyle w:val="62"/>
        <w:numPr>
          <w:ilvl w:val="0"/>
          <w:numId w:val="14"/>
        </w:numPr>
        <w:tabs>
          <w:tab w:val="left" w:pos="1192"/>
        </w:tabs>
        <w:spacing w:line="360" w:lineRule="auto"/>
        <w:ind w:left="612" w:firstLine="367"/>
        <w:rPr>
          <w:sz w:val="21"/>
          <w:szCs w:val="21"/>
        </w:rPr>
      </w:pPr>
      <w:r>
        <w:rPr>
          <w:rFonts w:hint="eastAsia"/>
          <w:sz w:val="21"/>
          <w:szCs w:val="21"/>
        </w:rPr>
        <w:t>修正后的最终投标报价若超过最高投标限价，投标人的投标文件作废标处理。</w:t>
      </w:r>
    </w:p>
    <w:p>
      <w:pPr>
        <w:pStyle w:val="12"/>
        <w:spacing w:line="360" w:lineRule="auto"/>
        <w:ind w:left="560" w:right="626" w:firstLine="420"/>
      </w:pPr>
      <w:r>
        <w:rPr>
          <w:rFonts w:hint="eastAsia"/>
        </w:rPr>
        <w:t>（四）投标文件未按招标文件规定的格式填写或关键字迹模糊，无法辨认的；</w:t>
      </w:r>
    </w:p>
    <w:p>
      <w:pPr>
        <w:pStyle w:val="12"/>
        <w:spacing w:line="360" w:lineRule="auto"/>
        <w:ind w:left="560" w:right="626" w:firstLine="420"/>
      </w:pPr>
      <w:r>
        <w:rPr>
          <w:rFonts w:hint="eastAsia"/>
        </w:rPr>
        <w:t>（五）投标报价高于或等于最高投标限价的；</w:t>
      </w:r>
    </w:p>
    <w:p>
      <w:pPr>
        <w:pStyle w:val="12"/>
        <w:spacing w:line="360" w:lineRule="auto"/>
        <w:ind w:left="560" w:right="626" w:firstLine="420"/>
      </w:pPr>
      <w:r>
        <w:rPr>
          <w:rFonts w:hint="eastAsia"/>
        </w:rPr>
        <w:t>（六）投标文件附有招标人不能接受的条件；</w:t>
      </w:r>
    </w:p>
    <w:p>
      <w:pPr>
        <w:pStyle w:val="12"/>
        <w:spacing w:line="360" w:lineRule="auto"/>
        <w:ind w:left="560" w:right="626" w:firstLine="420"/>
      </w:pPr>
      <w:r>
        <w:rPr>
          <w:rFonts w:hint="eastAsia"/>
        </w:rPr>
        <w:t>（七）同一份投标文件存在有两个或两个以上报价，且未书面声明最终报价的；</w:t>
      </w:r>
    </w:p>
    <w:p>
      <w:pPr>
        <w:pStyle w:val="12"/>
        <w:spacing w:line="360" w:lineRule="auto"/>
        <w:ind w:left="560" w:right="626" w:firstLine="420"/>
      </w:pPr>
      <w:r>
        <w:rPr>
          <w:rFonts w:hint="eastAsia"/>
        </w:rPr>
        <w:t>（八）投标文件经评标委员会表决认定存在以他人名义投标、串通投标等违法行为的；</w:t>
      </w:r>
    </w:p>
    <w:p>
      <w:pPr>
        <w:pStyle w:val="12"/>
        <w:spacing w:line="360" w:lineRule="auto"/>
        <w:ind w:left="560" w:right="626" w:firstLine="420"/>
      </w:pPr>
      <w:r>
        <w:rPr>
          <w:rFonts w:hint="eastAsia"/>
        </w:rPr>
        <w:t>（九）存在不符合法律法规规定或未满足招标文件实质性要求的其他事项。</w:t>
      </w:r>
    </w:p>
    <w:p>
      <w:pPr>
        <w:pStyle w:val="12"/>
        <w:spacing w:line="360" w:lineRule="auto"/>
        <w:ind w:left="980"/>
        <w:rPr>
          <w:spacing w:val="57"/>
          <w:w w:val="95"/>
        </w:rPr>
      </w:pPr>
      <w:r>
        <w:rPr>
          <w:rFonts w:hint="eastAsia"/>
        </w:rPr>
        <w:t>商务部分符合性评审未通过的投标人，其投标文件将不再继续进行评审。</w:t>
      </w:r>
      <w:r>
        <w:rPr>
          <w:rFonts w:hint="eastAsia"/>
          <w:spacing w:val="57"/>
          <w:w w:val="95"/>
        </w:rPr>
        <w:t xml:space="preserve">  </w:t>
      </w:r>
    </w:p>
    <w:p>
      <w:pPr>
        <w:pStyle w:val="12"/>
        <w:spacing w:line="360" w:lineRule="auto"/>
        <w:ind w:left="980"/>
      </w:pPr>
      <w:r>
        <w:rPr>
          <w:rFonts w:hint="eastAsia"/>
          <w:b/>
          <w:bCs/>
        </w:rPr>
        <w:t xml:space="preserve">第十三条 </w:t>
      </w:r>
      <w:r>
        <w:rPr>
          <w:rFonts w:hint="eastAsia"/>
        </w:rPr>
        <w:t>商务报价评分</w:t>
      </w:r>
    </w:p>
    <w:p>
      <w:pPr>
        <w:pStyle w:val="12"/>
        <w:spacing w:line="360" w:lineRule="auto"/>
        <w:ind w:left="560" w:firstLine="420"/>
        <w:rPr>
          <w:w w:val="95"/>
        </w:rPr>
      </w:pPr>
      <w:r>
        <w:rPr>
          <w:rFonts w:hint="eastAsia"/>
        </w:rPr>
        <w:t>商务报价满分为</w:t>
      </w:r>
      <w:r>
        <w:rPr>
          <w:rFonts w:hint="eastAsia"/>
          <w:highlight w:val="none"/>
        </w:rPr>
        <w:t>6</w:t>
      </w:r>
      <w:r>
        <w:rPr>
          <w:rFonts w:hint="eastAsia"/>
          <w:highlight w:val="none"/>
          <w:lang w:val="en-US" w:eastAsia="zh-CN"/>
        </w:rPr>
        <w:t>5</w:t>
      </w:r>
      <w:r>
        <w:rPr>
          <w:rFonts w:hint="eastAsia"/>
          <w:highlight w:val="none"/>
        </w:rPr>
        <w:t>分：投标价与评标基准价一致的，得6</w:t>
      </w:r>
      <w:r>
        <w:rPr>
          <w:rFonts w:hint="eastAsia"/>
          <w:highlight w:val="none"/>
          <w:lang w:val="en-US" w:eastAsia="zh-CN"/>
        </w:rPr>
        <w:t>5</w:t>
      </w:r>
      <w:r>
        <w:rPr>
          <w:rFonts w:hint="eastAsia"/>
          <w:highlight w:val="none"/>
        </w:rPr>
        <w:t>分，每高于评标基准价1%的，扣1分；每低于评标基准价1%的，扣0.5分。凡以价格计算的均保留到人民币元，以百分比及得分计算的均保留两位小数，凡遇增减分值不足一个档位</w:t>
      </w:r>
      <w:r>
        <w:rPr>
          <w:rFonts w:hint="eastAsia"/>
        </w:rPr>
        <w:t>时，使用直线插入法计算。评标基准价计算方式如下</w:t>
      </w:r>
      <w:r>
        <w:rPr>
          <w:rFonts w:hint="eastAsia"/>
          <w:w w:val="95"/>
        </w:rPr>
        <w:t>：</w:t>
      </w:r>
    </w:p>
    <w:p>
      <w:pPr>
        <w:pStyle w:val="12"/>
        <w:spacing w:line="360" w:lineRule="auto"/>
        <w:ind w:left="560" w:firstLine="420"/>
      </w:pPr>
      <w:r>
        <w:rPr>
          <w:rFonts w:hint="eastAsia"/>
        </w:rPr>
        <w:t>评标基准价=通过详细评审后各投标价格的算术平均值×投标价格权重B+最高投标限价×（1－下浮动率A）×（1－投标价格权重B）。</w:t>
      </w:r>
    </w:p>
    <w:p>
      <w:pPr>
        <w:pStyle w:val="12"/>
        <w:numPr>
          <w:ilvl w:val="0"/>
          <w:numId w:val="15"/>
        </w:numPr>
        <w:spacing w:line="360" w:lineRule="auto"/>
        <w:ind w:left="560" w:right="621" w:firstLine="420"/>
        <w:jc w:val="both"/>
      </w:pPr>
      <w:r>
        <w:rPr>
          <w:rFonts w:hint="eastAsia"/>
        </w:rPr>
        <w:t>下浮率 A 的数值：</w:t>
      </w:r>
    </w:p>
    <w:tbl>
      <w:tblPr>
        <w:tblStyle w:val="61"/>
        <w:tblW w:w="10134" w:type="dxa"/>
        <w:tblInd w:w="1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2"/>
        <w:gridCol w:w="764"/>
        <w:gridCol w:w="815"/>
        <w:gridCol w:w="815"/>
        <w:gridCol w:w="814"/>
        <w:gridCol w:w="815"/>
        <w:gridCol w:w="815"/>
        <w:gridCol w:w="815"/>
        <w:gridCol w:w="815"/>
        <w:gridCol w:w="814"/>
        <w:gridCol w:w="815"/>
        <w:gridCol w:w="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222" w:type="dxa"/>
            <w:vAlign w:val="center"/>
          </w:tcPr>
          <w:p>
            <w:pPr>
              <w:pStyle w:val="63"/>
              <w:spacing w:line="360" w:lineRule="auto"/>
              <w:ind w:left="234"/>
              <w:jc w:val="center"/>
              <w:rPr>
                <w:sz w:val="21"/>
                <w:szCs w:val="20"/>
              </w:rPr>
            </w:pPr>
            <w:r>
              <w:rPr>
                <w:sz w:val="21"/>
                <w:szCs w:val="20"/>
              </w:rPr>
              <w:t>档数</w:t>
            </w:r>
          </w:p>
        </w:tc>
        <w:tc>
          <w:tcPr>
            <w:tcW w:w="764" w:type="dxa"/>
            <w:vAlign w:val="center"/>
          </w:tcPr>
          <w:p>
            <w:pPr>
              <w:pStyle w:val="63"/>
              <w:spacing w:line="360" w:lineRule="auto"/>
              <w:ind w:left="224"/>
              <w:jc w:val="center"/>
              <w:rPr>
                <w:sz w:val="21"/>
                <w:szCs w:val="20"/>
              </w:rPr>
            </w:pPr>
            <w:r>
              <w:rPr>
                <w:rFonts w:ascii="Times New Roman" w:eastAsia="Times New Roman"/>
                <w:sz w:val="21"/>
                <w:szCs w:val="20"/>
              </w:rPr>
              <w:t>1</w:t>
            </w:r>
            <w:r>
              <w:rPr>
                <w:rFonts w:ascii="Times New Roman" w:eastAsia="Times New Roman"/>
                <w:spacing w:val="-2"/>
                <w:sz w:val="21"/>
                <w:szCs w:val="20"/>
              </w:rPr>
              <w:t xml:space="preserve"> </w:t>
            </w:r>
            <w:r>
              <w:rPr>
                <w:sz w:val="21"/>
                <w:szCs w:val="20"/>
              </w:rPr>
              <w:t>档</w:t>
            </w:r>
          </w:p>
        </w:tc>
        <w:tc>
          <w:tcPr>
            <w:tcW w:w="815" w:type="dxa"/>
            <w:vAlign w:val="center"/>
          </w:tcPr>
          <w:p>
            <w:pPr>
              <w:pStyle w:val="63"/>
              <w:spacing w:line="360" w:lineRule="auto"/>
              <w:ind w:left="115" w:right="106"/>
              <w:jc w:val="center"/>
              <w:rPr>
                <w:sz w:val="21"/>
                <w:szCs w:val="20"/>
              </w:rPr>
            </w:pPr>
            <w:r>
              <w:rPr>
                <w:rFonts w:ascii="Times New Roman" w:eastAsia="Times New Roman"/>
                <w:sz w:val="21"/>
                <w:szCs w:val="20"/>
              </w:rPr>
              <w:t xml:space="preserve">2 </w:t>
            </w:r>
            <w:r>
              <w:rPr>
                <w:sz w:val="21"/>
                <w:szCs w:val="20"/>
              </w:rPr>
              <w:t>档</w:t>
            </w:r>
          </w:p>
        </w:tc>
        <w:tc>
          <w:tcPr>
            <w:tcW w:w="815" w:type="dxa"/>
            <w:vAlign w:val="center"/>
          </w:tcPr>
          <w:p>
            <w:pPr>
              <w:pStyle w:val="63"/>
              <w:spacing w:line="360" w:lineRule="auto"/>
              <w:ind w:right="213"/>
              <w:jc w:val="center"/>
              <w:rPr>
                <w:sz w:val="21"/>
                <w:szCs w:val="20"/>
              </w:rPr>
            </w:pPr>
            <w:r>
              <w:rPr>
                <w:rFonts w:ascii="Times New Roman" w:eastAsia="Times New Roman"/>
                <w:sz w:val="21"/>
                <w:szCs w:val="20"/>
              </w:rPr>
              <w:t>3</w:t>
            </w:r>
            <w:r>
              <w:rPr>
                <w:rFonts w:ascii="Times New Roman" w:eastAsia="Times New Roman"/>
                <w:spacing w:val="-2"/>
                <w:sz w:val="21"/>
                <w:szCs w:val="20"/>
              </w:rPr>
              <w:t xml:space="preserve"> </w:t>
            </w:r>
            <w:r>
              <w:rPr>
                <w:sz w:val="21"/>
                <w:szCs w:val="20"/>
              </w:rPr>
              <w:t>档</w:t>
            </w:r>
          </w:p>
        </w:tc>
        <w:tc>
          <w:tcPr>
            <w:tcW w:w="814" w:type="dxa"/>
            <w:vAlign w:val="center"/>
          </w:tcPr>
          <w:p>
            <w:pPr>
              <w:pStyle w:val="63"/>
              <w:spacing w:line="360" w:lineRule="auto"/>
              <w:ind w:left="222"/>
              <w:jc w:val="center"/>
              <w:rPr>
                <w:sz w:val="21"/>
                <w:szCs w:val="20"/>
              </w:rPr>
            </w:pPr>
            <w:r>
              <w:rPr>
                <w:rFonts w:ascii="Times New Roman" w:eastAsia="Times New Roman"/>
                <w:sz w:val="21"/>
                <w:szCs w:val="20"/>
              </w:rPr>
              <w:t>4</w:t>
            </w:r>
            <w:r>
              <w:rPr>
                <w:rFonts w:ascii="Times New Roman" w:eastAsia="Times New Roman"/>
                <w:spacing w:val="-2"/>
                <w:sz w:val="21"/>
                <w:szCs w:val="20"/>
              </w:rPr>
              <w:t xml:space="preserve"> </w:t>
            </w:r>
            <w:r>
              <w:rPr>
                <w:sz w:val="21"/>
                <w:szCs w:val="20"/>
              </w:rPr>
              <w:t>档</w:t>
            </w:r>
          </w:p>
        </w:tc>
        <w:tc>
          <w:tcPr>
            <w:tcW w:w="815" w:type="dxa"/>
            <w:vAlign w:val="center"/>
          </w:tcPr>
          <w:p>
            <w:pPr>
              <w:pStyle w:val="63"/>
              <w:spacing w:line="360" w:lineRule="auto"/>
              <w:ind w:left="222"/>
              <w:jc w:val="center"/>
              <w:rPr>
                <w:sz w:val="21"/>
                <w:szCs w:val="20"/>
              </w:rPr>
            </w:pPr>
            <w:r>
              <w:rPr>
                <w:rFonts w:ascii="Times New Roman" w:eastAsia="Times New Roman"/>
                <w:sz w:val="21"/>
                <w:szCs w:val="20"/>
              </w:rPr>
              <w:t xml:space="preserve">5 </w:t>
            </w:r>
            <w:r>
              <w:rPr>
                <w:sz w:val="21"/>
                <w:szCs w:val="20"/>
              </w:rPr>
              <w:t>档</w:t>
            </w:r>
          </w:p>
        </w:tc>
        <w:tc>
          <w:tcPr>
            <w:tcW w:w="815" w:type="dxa"/>
            <w:vAlign w:val="center"/>
          </w:tcPr>
          <w:p>
            <w:pPr>
              <w:pStyle w:val="63"/>
              <w:spacing w:line="360" w:lineRule="auto"/>
              <w:ind w:left="223"/>
              <w:jc w:val="center"/>
              <w:rPr>
                <w:sz w:val="21"/>
                <w:szCs w:val="20"/>
              </w:rPr>
            </w:pPr>
            <w:r>
              <w:rPr>
                <w:rFonts w:ascii="Times New Roman" w:eastAsia="Times New Roman"/>
                <w:sz w:val="21"/>
                <w:szCs w:val="20"/>
              </w:rPr>
              <w:t>6</w:t>
            </w:r>
            <w:r>
              <w:rPr>
                <w:rFonts w:ascii="Times New Roman" w:eastAsia="Times New Roman"/>
                <w:spacing w:val="-2"/>
                <w:sz w:val="21"/>
                <w:szCs w:val="20"/>
              </w:rPr>
              <w:t xml:space="preserve"> </w:t>
            </w:r>
            <w:r>
              <w:rPr>
                <w:sz w:val="21"/>
                <w:szCs w:val="20"/>
              </w:rPr>
              <w:t>档</w:t>
            </w:r>
          </w:p>
        </w:tc>
        <w:tc>
          <w:tcPr>
            <w:tcW w:w="815" w:type="dxa"/>
            <w:vAlign w:val="center"/>
          </w:tcPr>
          <w:p>
            <w:pPr>
              <w:pStyle w:val="63"/>
              <w:spacing w:line="360" w:lineRule="auto"/>
              <w:ind w:left="115" w:right="106"/>
              <w:jc w:val="center"/>
              <w:rPr>
                <w:sz w:val="21"/>
                <w:szCs w:val="20"/>
              </w:rPr>
            </w:pPr>
            <w:r>
              <w:rPr>
                <w:rFonts w:ascii="Times New Roman" w:eastAsia="Times New Roman"/>
                <w:sz w:val="21"/>
                <w:szCs w:val="20"/>
              </w:rPr>
              <w:t>7</w:t>
            </w:r>
            <w:r>
              <w:rPr>
                <w:rFonts w:ascii="Times New Roman" w:eastAsia="Times New Roman"/>
                <w:spacing w:val="-2"/>
                <w:sz w:val="21"/>
                <w:szCs w:val="20"/>
              </w:rPr>
              <w:t xml:space="preserve"> </w:t>
            </w:r>
            <w:r>
              <w:rPr>
                <w:sz w:val="21"/>
                <w:szCs w:val="20"/>
              </w:rPr>
              <w:t>档</w:t>
            </w:r>
          </w:p>
        </w:tc>
        <w:tc>
          <w:tcPr>
            <w:tcW w:w="815" w:type="dxa"/>
            <w:vAlign w:val="center"/>
          </w:tcPr>
          <w:p>
            <w:pPr>
              <w:pStyle w:val="63"/>
              <w:spacing w:line="360" w:lineRule="auto"/>
              <w:ind w:left="114" w:right="106"/>
              <w:jc w:val="center"/>
              <w:rPr>
                <w:sz w:val="21"/>
                <w:szCs w:val="20"/>
              </w:rPr>
            </w:pPr>
            <w:r>
              <w:rPr>
                <w:rFonts w:ascii="Times New Roman" w:eastAsia="Times New Roman"/>
                <w:sz w:val="21"/>
                <w:szCs w:val="20"/>
              </w:rPr>
              <w:t xml:space="preserve">8 </w:t>
            </w:r>
            <w:r>
              <w:rPr>
                <w:sz w:val="21"/>
                <w:szCs w:val="20"/>
              </w:rPr>
              <w:t>档</w:t>
            </w:r>
          </w:p>
        </w:tc>
        <w:tc>
          <w:tcPr>
            <w:tcW w:w="814" w:type="dxa"/>
            <w:vAlign w:val="center"/>
          </w:tcPr>
          <w:p>
            <w:pPr>
              <w:pStyle w:val="63"/>
              <w:spacing w:line="360" w:lineRule="auto"/>
              <w:ind w:left="112" w:right="105"/>
              <w:jc w:val="center"/>
              <w:rPr>
                <w:sz w:val="21"/>
                <w:szCs w:val="20"/>
              </w:rPr>
            </w:pPr>
            <w:r>
              <w:rPr>
                <w:rFonts w:ascii="Times New Roman" w:eastAsia="Times New Roman"/>
                <w:sz w:val="21"/>
                <w:szCs w:val="20"/>
              </w:rPr>
              <w:t xml:space="preserve">9 </w:t>
            </w:r>
            <w:r>
              <w:rPr>
                <w:sz w:val="21"/>
                <w:szCs w:val="20"/>
              </w:rPr>
              <w:t>档</w:t>
            </w:r>
          </w:p>
        </w:tc>
        <w:tc>
          <w:tcPr>
            <w:tcW w:w="815" w:type="dxa"/>
            <w:vAlign w:val="center"/>
          </w:tcPr>
          <w:p>
            <w:pPr>
              <w:pStyle w:val="63"/>
              <w:spacing w:line="360" w:lineRule="auto"/>
              <w:ind w:left="113" w:right="106"/>
              <w:jc w:val="center"/>
              <w:rPr>
                <w:sz w:val="21"/>
                <w:szCs w:val="20"/>
              </w:rPr>
            </w:pPr>
            <w:r>
              <w:rPr>
                <w:rFonts w:ascii="Times New Roman" w:eastAsia="Times New Roman"/>
                <w:sz w:val="21"/>
                <w:szCs w:val="20"/>
              </w:rPr>
              <w:t>10</w:t>
            </w:r>
            <w:r>
              <w:rPr>
                <w:rFonts w:ascii="Times New Roman" w:eastAsia="Times New Roman"/>
                <w:spacing w:val="-2"/>
                <w:sz w:val="21"/>
                <w:szCs w:val="20"/>
              </w:rPr>
              <w:t xml:space="preserve"> </w:t>
            </w:r>
            <w:r>
              <w:rPr>
                <w:sz w:val="21"/>
                <w:szCs w:val="20"/>
              </w:rPr>
              <w:t>档</w:t>
            </w:r>
          </w:p>
        </w:tc>
        <w:tc>
          <w:tcPr>
            <w:tcW w:w="815" w:type="dxa"/>
            <w:vAlign w:val="center"/>
          </w:tcPr>
          <w:p>
            <w:pPr>
              <w:pStyle w:val="63"/>
              <w:spacing w:line="360" w:lineRule="auto"/>
              <w:ind w:left="174"/>
              <w:jc w:val="center"/>
              <w:rPr>
                <w:sz w:val="21"/>
                <w:szCs w:val="20"/>
              </w:rPr>
            </w:pPr>
            <w:r>
              <w:rPr>
                <w:rFonts w:ascii="Times New Roman" w:eastAsia="Times New Roman"/>
                <w:sz w:val="21"/>
                <w:szCs w:val="20"/>
              </w:rPr>
              <w:t>11</w:t>
            </w:r>
            <w:r>
              <w:rPr>
                <w:rFonts w:ascii="Times New Roman" w:eastAsia="Times New Roman"/>
                <w:spacing w:val="-7"/>
                <w:sz w:val="21"/>
                <w:szCs w:val="20"/>
              </w:rPr>
              <w:t xml:space="preserve"> </w:t>
            </w:r>
            <w:r>
              <w:rPr>
                <w:sz w:val="21"/>
                <w:szCs w:val="20"/>
              </w:rPr>
              <w:t>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222" w:type="dxa"/>
          </w:tcPr>
          <w:p>
            <w:pPr>
              <w:pStyle w:val="63"/>
              <w:spacing w:line="360" w:lineRule="auto"/>
              <w:ind w:left="84" w:right="118"/>
              <w:jc w:val="center"/>
              <w:rPr>
                <w:sz w:val="21"/>
                <w:szCs w:val="20"/>
              </w:rPr>
            </w:pPr>
            <w:r>
              <w:rPr>
                <w:sz w:val="21"/>
                <w:szCs w:val="20"/>
              </w:rPr>
              <w:t>下浮率</w:t>
            </w:r>
            <w:r>
              <w:rPr>
                <w:w w:val="99"/>
                <w:sz w:val="21"/>
                <w:szCs w:val="20"/>
              </w:rPr>
              <w:t>A</w:t>
            </w:r>
          </w:p>
        </w:tc>
        <w:tc>
          <w:tcPr>
            <w:tcW w:w="764" w:type="dxa"/>
            <w:vAlign w:val="center"/>
          </w:tcPr>
          <w:p>
            <w:pPr>
              <w:pStyle w:val="63"/>
              <w:spacing w:line="360" w:lineRule="auto"/>
              <w:jc w:val="center"/>
              <w:rPr>
                <w:sz w:val="21"/>
                <w:szCs w:val="20"/>
              </w:rPr>
            </w:pPr>
            <w:r>
              <w:rPr>
                <w:rFonts w:ascii="Times New Roman"/>
                <w:sz w:val="21"/>
                <w:szCs w:val="20"/>
              </w:rPr>
              <w:t>7.5%</w:t>
            </w:r>
          </w:p>
        </w:tc>
        <w:tc>
          <w:tcPr>
            <w:tcW w:w="815" w:type="dxa"/>
            <w:vAlign w:val="center"/>
          </w:tcPr>
          <w:p>
            <w:pPr>
              <w:pStyle w:val="63"/>
              <w:spacing w:line="360" w:lineRule="auto"/>
              <w:ind w:right="106"/>
              <w:jc w:val="center"/>
              <w:rPr>
                <w:sz w:val="21"/>
                <w:szCs w:val="20"/>
              </w:rPr>
            </w:pPr>
            <w:r>
              <w:rPr>
                <w:rFonts w:ascii="Times New Roman"/>
                <w:sz w:val="21"/>
                <w:szCs w:val="20"/>
              </w:rPr>
              <w:t>8%</w:t>
            </w:r>
          </w:p>
        </w:tc>
        <w:tc>
          <w:tcPr>
            <w:tcW w:w="815" w:type="dxa"/>
            <w:vAlign w:val="center"/>
          </w:tcPr>
          <w:p>
            <w:pPr>
              <w:pStyle w:val="63"/>
              <w:spacing w:line="360" w:lineRule="auto"/>
              <w:ind w:right="176"/>
              <w:jc w:val="center"/>
              <w:rPr>
                <w:sz w:val="21"/>
                <w:szCs w:val="20"/>
              </w:rPr>
            </w:pPr>
            <w:r>
              <w:rPr>
                <w:rFonts w:ascii="Times New Roman"/>
                <w:sz w:val="21"/>
                <w:szCs w:val="20"/>
              </w:rPr>
              <w:t>8.5%</w:t>
            </w:r>
          </w:p>
        </w:tc>
        <w:tc>
          <w:tcPr>
            <w:tcW w:w="814" w:type="dxa"/>
            <w:vAlign w:val="center"/>
          </w:tcPr>
          <w:p>
            <w:pPr>
              <w:pStyle w:val="63"/>
              <w:spacing w:line="360" w:lineRule="auto"/>
              <w:jc w:val="center"/>
              <w:rPr>
                <w:sz w:val="21"/>
                <w:szCs w:val="20"/>
              </w:rPr>
            </w:pPr>
            <w:r>
              <w:rPr>
                <w:rFonts w:ascii="Times New Roman"/>
                <w:sz w:val="21"/>
                <w:szCs w:val="20"/>
              </w:rPr>
              <w:t>9%</w:t>
            </w:r>
          </w:p>
        </w:tc>
        <w:tc>
          <w:tcPr>
            <w:tcW w:w="815" w:type="dxa"/>
            <w:vAlign w:val="center"/>
          </w:tcPr>
          <w:p>
            <w:pPr>
              <w:pStyle w:val="63"/>
              <w:spacing w:line="360" w:lineRule="auto"/>
              <w:jc w:val="center"/>
              <w:rPr>
                <w:sz w:val="21"/>
                <w:szCs w:val="20"/>
              </w:rPr>
            </w:pPr>
            <w:r>
              <w:rPr>
                <w:rFonts w:ascii="Times New Roman"/>
                <w:sz w:val="21"/>
                <w:szCs w:val="20"/>
              </w:rPr>
              <w:t>9.5%</w:t>
            </w:r>
          </w:p>
        </w:tc>
        <w:tc>
          <w:tcPr>
            <w:tcW w:w="815" w:type="dxa"/>
            <w:vAlign w:val="center"/>
          </w:tcPr>
          <w:p>
            <w:pPr>
              <w:pStyle w:val="63"/>
              <w:spacing w:line="360" w:lineRule="auto"/>
              <w:jc w:val="center"/>
              <w:rPr>
                <w:sz w:val="21"/>
                <w:szCs w:val="20"/>
              </w:rPr>
            </w:pPr>
            <w:r>
              <w:rPr>
                <w:rFonts w:ascii="Times New Roman"/>
                <w:sz w:val="21"/>
                <w:szCs w:val="20"/>
              </w:rPr>
              <w:t>10%</w:t>
            </w:r>
          </w:p>
        </w:tc>
        <w:tc>
          <w:tcPr>
            <w:tcW w:w="815" w:type="dxa"/>
            <w:vAlign w:val="center"/>
          </w:tcPr>
          <w:p>
            <w:pPr>
              <w:pStyle w:val="63"/>
              <w:spacing w:line="360" w:lineRule="auto"/>
              <w:ind w:right="106"/>
              <w:jc w:val="center"/>
              <w:rPr>
                <w:sz w:val="21"/>
                <w:szCs w:val="20"/>
              </w:rPr>
            </w:pPr>
            <w:r>
              <w:rPr>
                <w:rFonts w:ascii="Times New Roman"/>
                <w:sz w:val="21"/>
                <w:szCs w:val="20"/>
              </w:rPr>
              <w:t>10.5%</w:t>
            </w:r>
          </w:p>
        </w:tc>
        <w:tc>
          <w:tcPr>
            <w:tcW w:w="815" w:type="dxa"/>
            <w:vAlign w:val="center"/>
          </w:tcPr>
          <w:p>
            <w:pPr>
              <w:pStyle w:val="63"/>
              <w:spacing w:line="360" w:lineRule="auto"/>
              <w:ind w:right="106"/>
              <w:jc w:val="center"/>
              <w:rPr>
                <w:sz w:val="21"/>
                <w:szCs w:val="20"/>
              </w:rPr>
            </w:pPr>
            <w:r>
              <w:rPr>
                <w:rFonts w:ascii="Times New Roman"/>
                <w:sz w:val="21"/>
                <w:szCs w:val="20"/>
              </w:rPr>
              <w:t>11%</w:t>
            </w:r>
          </w:p>
        </w:tc>
        <w:tc>
          <w:tcPr>
            <w:tcW w:w="814" w:type="dxa"/>
            <w:vAlign w:val="center"/>
          </w:tcPr>
          <w:p>
            <w:pPr>
              <w:pStyle w:val="63"/>
              <w:spacing w:line="360" w:lineRule="auto"/>
              <w:ind w:right="105"/>
              <w:jc w:val="center"/>
              <w:rPr>
                <w:sz w:val="21"/>
                <w:szCs w:val="20"/>
              </w:rPr>
            </w:pPr>
            <w:r>
              <w:rPr>
                <w:rFonts w:ascii="Times New Roman"/>
                <w:sz w:val="21"/>
                <w:szCs w:val="20"/>
              </w:rPr>
              <w:t>11.5%</w:t>
            </w:r>
          </w:p>
        </w:tc>
        <w:tc>
          <w:tcPr>
            <w:tcW w:w="815" w:type="dxa"/>
            <w:vAlign w:val="center"/>
          </w:tcPr>
          <w:p>
            <w:pPr>
              <w:pStyle w:val="63"/>
              <w:spacing w:line="360" w:lineRule="auto"/>
              <w:ind w:right="106"/>
              <w:jc w:val="center"/>
              <w:rPr>
                <w:sz w:val="21"/>
                <w:szCs w:val="20"/>
              </w:rPr>
            </w:pPr>
            <w:r>
              <w:rPr>
                <w:rFonts w:ascii="Times New Roman"/>
                <w:sz w:val="21"/>
                <w:szCs w:val="20"/>
              </w:rPr>
              <w:t>12%</w:t>
            </w:r>
          </w:p>
        </w:tc>
        <w:tc>
          <w:tcPr>
            <w:tcW w:w="815" w:type="dxa"/>
            <w:vAlign w:val="center"/>
          </w:tcPr>
          <w:p>
            <w:pPr>
              <w:pStyle w:val="63"/>
              <w:spacing w:line="360" w:lineRule="auto"/>
              <w:jc w:val="center"/>
              <w:rPr>
                <w:sz w:val="21"/>
                <w:szCs w:val="20"/>
              </w:rPr>
            </w:pPr>
            <w:r>
              <w:rPr>
                <w:rFonts w:ascii="Times New Roman"/>
                <w:sz w:val="21"/>
                <w:szCs w:val="20"/>
              </w:rPr>
              <w:t>12.5%</w:t>
            </w:r>
          </w:p>
        </w:tc>
      </w:tr>
    </w:tbl>
    <w:p>
      <w:pPr>
        <w:pStyle w:val="22"/>
        <w:spacing w:line="360" w:lineRule="auto"/>
        <w:ind w:firstLine="836" w:firstLineChars="400"/>
      </w:pPr>
      <w:r>
        <w:rPr>
          <w:rFonts w:hint="eastAsia"/>
          <w:w w:val="95"/>
        </w:rPr>
        <w:t>2）</w:t>
      </w:r>
      <w:r>
        <w:rPr>
          <w:rFonts w:hint="eastAsia"/>
          <w:spacing w:val="-2"/>
          <w:w w:val="95"/>
        </w:rPr>
        <w:t xml:space="preserve">投标价格权重 </w:t>
      </w:r>
      <w:r>
        <w:rPr>
          <w:rFonts w:hint="eastAsia"/>
          <w:w w:val="95"/>
        </w:rPr>
        <w:t>B</w:t>
      </w:r>
      <w:r>
        <w:rPr>
          <w:rFonts w:hint="eastAsia"/>
          <w:spacing w:val="37"/>
          <w:w w:val="95"/>
        </w:rPr>
        <w:t xml:space="preserve"> </w:t>
      </w:r>
      <w:r>
        <w:rPr>
          <w:rFonts w:hint="eastAsia"/>
          <w:w w:val="95"/>
        </w:rPr>
        <w:t>的数值：</w:t>
      </w:r>
    </w:p>
    <w:p>
      <w:pPr>
        <w:pStyle w:val="12"/>
        <w:spacing w:before="10" w:line="360" w:lineRule="auto"/>
        <w:rPr>
          <w:sz w:val="7"/>
        </w:rPr>
      </w:pPr>
    </w:p>
    <w:tbl>
      <w:tblPr>
        <w:tblStyle w:val="61"/>
        <w:tblW w:w="10133" w:type="dxa"/>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815"/>
        <w:gridCol w:w="815"/>
        <w:gridCol w:w="815"/>
        <w:gridCol w:w="814"/>
        <w:gridCol w:w="815"/>
        <w:gridCol w:w="815"/>
        <w:gridCol w:w="815"/>
        <w:gridCol w:w="815"/>
        <w:gridCol w:w="814"/>
        <w:gridCol w:w="815"/>
        <w:gridCol w:w="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70" w:type="dxa"/>
          </w:tcPr>
          <w:p>
            <w:pPr>
              <w:pStyle w:val="63"/>
              <w:spacing w:before="159" w:line="360" w:lineRule="auto"/>
              <w:ind w:left="88" w:right="82"/>
              <w:jc w:val="center"/>
              <w:rPr>
                <w:sz w:val="21"/>
                <w:szCs w:val="20"/>
              </w:rPr>
            </w:pPr>
            <w:r>
              <w:rPr>
                <w:rFonts w:hint="eastAsia"/>
                <w:sz w:val="21"/>
                <w:szCs w:val="20"/>
              </w:rPr>
              <w:t>档数</w:t>
            </w:r>
          </w:p>
        </w:tc>
        <w:tc>
          <w:tcPr>
            <w:tcW w:w="815" w:type="dxa"/>
          </w:tcPr>
          <w:p>
            <w:pPr>
              <w:pStyle w:val="63"/>
              <w:spacing w:before="139" w:line="360" w:lineRule="auto"/>
              <w:ind w:left="224"/>
              <w:rPr>
                <w:sz w:val="21"/>
                <w:szCs w:val="20"/>
              </w:rPr>
            </w:pPr>
            <w:r>
              <w:rPr>
                <w:rFonts w:hint="eastAsia"/>
                <w:sz w:val="21"/>
                <w:szCs w:val="20"/>
              </w:rPr>
              <w:t>1</w:t>
            </w:r>
            <w:r>
              <w:rPr>
                <w:rFonts w:hint="eastAsia"/>
                <w:spacing w:val="-2"/>
                <w:sz w:val="21"/>
                <w:szCs w:val="20"/>
              </w:rPr>
              <w:t xml:space="preserve"> </w:t>
            </w:r>
            <w:r>
              <w:rPr>
                <w:rFonts w:hint="eastAsia"/>
                <w:sz w:val="21"/>
                <w:szCs w:val="20"/>
              </w:rPr>
              <w:t>档</w:t>
            </w:r>
          </w:p>
        </w:tc>
        <w:tc>
          <w:tcPr>
            <w:tcW w:w="815" w:type="dxa"/>
          </w:tcPr>
          <w:p>
            <w:pPr>
              <w:pStyle w:val="63"/>
              <w:spacing w:before="139" w:line="360" w:lineRule="auto"/>
              <w:ind w:left="115" w:right="106"/>
              <w:jc w:val="center"/>
              <w:rPr>
                <w:sz w:val="21"/>
                <w:szCs w:val="20"/>
              </w:rPr>
            </w:pPr>
            <w:r>
              <w:rPr>
                <w:rFonts w:hint="eastAsia"/>
                <w:sz w:val="21"/>
                <w:szCs w:val="20"/>
              </w:rPr>
              <w:t>2 档</w:t>
            </w:r>
          </w:p>
        </w:tc>
        <w:tc>
          <w:tcPr>
            <w:tcW w:w="815" w:type="dxa"/>
          </w:tcPr>
          <w:p>
            <w:pPr>
              <w:pStyle w:val="63"/>
              <w:spacing w:before="139" w:line="360" w:lineRule="auto"/>
              <w:ind w:right="213"/>
              <w:jc w:val="right"/>
              <w:rPr>
                <w:sz w:val="21"/>
                <w:szCs w:val="20"/>
              </w:rPr>
            </w:pPr>
            <w:r>
              <w:rPr>
                <w:rFonts w:hint="eastAsia"/>
                <w:sz w:val="21"/>
                <w:szCs w:val="20"/>
              </w:rPr>
              <w:t>3</w:t>
            </w:r>
            <w:r>
              <w:rPr>
                <w:rFonts w:hint="eastAsia"/>
                <w:spacing w:val="-2"/>
                <w:sz w:val="21"/>
                <w:szCs w:val="20"/>
              </w:rPr>
              <w:t xml:space="preserve"> </w:t>
            </w:r>
            <w:r>
              <w:rPr>
                <w:rFonts w:hint="eastAsia"/>
                <w:sz w:val="21"/>
                <w:szCs w:val="20"/>
              </w:rPr>
              <w:t>档</w:t>
            </w:r>
          </w:p>
        </w:tc>
        <w:tc>
          <w:tcPr>
            <w:tcW w:w="814" w:type="dxa"/>
          </w:tcPr>
          <w:p>
            <w:pPr>
              <w:pStyle w:val="63"/>
              <w:spacing w:before="139" w:line="360" w:lineRule="auto"/>
              <w:ind w:left="111" w:right="105"/>
              <w:jc w:val="center"/>
              <w:rPr>
                <w:sz w:val="21"/>
                <w:szCs w:val="20"/>
              </w:rPr>
            </w:pPr>
            <w:r>
              <w:rPr>
                <w:rFonts w:hint="eastAsia"/>
                <w:sz w:val="21"/>
                <w:szCs w:val="20"/>
              </w:rPr>
              <w:t>4</w:t>
            </w:r>
            <w:r>
              <w:rPr>
                <w:rFonts w:hint="eastAsia"/>
                <w:spacing w:val="-2"/>
                <w:sz w:val="21"/>
                <w:szCs w:val="20"/>
              </w:rPr>
              <w:t xml:space="preserve"> </w:t>
            </w:r>
            <w:r>
              <w:rPr>
                <w:rFonts w:hint="eastAsia"/>
                <w:sz w:val="21"/>
                <w:szCs w:val="20"/>
              </w:rPr>
              <w:t>档</w:t>
            </w:r>
          </w:p>
        </w:tc>
        <w:tc>
          <w:tcPr>
            <w:tcW w:w="815" w:type="dxa"/>
          </w:tcPr>
          <w:p>
            <w:pPr>
              <w:pStyle w:val="63"/>
              <w:spacing w:before="139" w:line="360" w:lineRule="auto"/>
              <w:ind w:left="222"/>
              <w:rPr>
                <w:sz w:val="21"/>
                <w:szCs w:val="20"/>
              </w:rPr>
            </w:pPr>
            <w:r>
              <w:rPr>
                <w:rFonts w:hint="eastAsia"/>
                <w:sz w:val="21"/>
                <w:szCs w:val="20"/>
              </w:rPr>
              <w:t>5 档</w:t>
            </w:r>
          </w:p>
        </w:tc>
        <w:tc>
          <w:tcPr>
            <w:tcW w:w="815" w:type="dxa"/>
          </w:tcPr>
          <w:p>
            <w:pPr>
              <w:pStyle w:val="63"/>
              <w:spacing w:before="139" w:line="360" w:lineRule="auto"/>
              <w:ind w:left="223"/>
              <w:rPr>
                <w:sz w:val="21"/>
                <w:szCs w:val="20"/>
              </w:rPr>
            </w:pPr>
            <w:r>
              <w:rPr>
                <w:rFonts w:hint="eastAsia"/>
                <w:sz w:val="21"/>
                <w:szCs w:val="20"/>
              </w:rPr>
              <w:t>6</w:t>
            </w:r>
            <w:r>
              <w:rPr>
                <w:rFonts w:hint="eastAsia"/>
                <w:spacing w:val="-2"/>
                <w:sz w:val="21"/>
                <w:szCs w:val="20"/>
              </w:rPr>
              <w:t xml:space="preserve"> </w:t>
            </w:r>
            <w:r>
              <w:rPr>
                <w:rFonts w:hint="eastAsia"/>
                <w:sz w:val="21"/>
                <w:szCs w:val="20"/>
              </w:rPr>
              <w:t>档</w:t>
            </w:r>
          </w:p>
        </w:tc>
        <w:tc>
          <w:tcPr>
            <w:tcW w:w="815" w:type="dxa"/>
          </w:tcPr>
          <w:p>
            <w:pPr>
              <w:pStyle w:val="63"/>
              <w:spacing w:before="139" w:line="360" w:lineRule="auto"/>
              <w:ind w:left="115" w:right="106"/>
              <w:jc w:val="center"/>
              <w:rPr>
                <w:sz w:val="21"/>
                <w:szCs w:val="20"/>
              </w:rPr>
            </w:pPr>
            <w:r>
              <w:rPr>
                <w:rFonts w:hint="eastAsia"/>
                <w:sz w:val="21"/>
                <w:szCs w:val="20"/>
              </w:rPr>
              <w:t>7</w:t>
            </w:r>
            <w:r>
              <w:rPr>
                <w:rFonts w:hint="eastAsia"/>
                <w:spacing w:val="-2"/>
                <w:sz w:val="21"/>
                <w:szCs w:val="20"/>
              </w:rPr>
              <w:t xml:space="preserve"> </w:t>
            </w:r>
            <w:r>
              <w:rPr>
                <w:rFonts w:hint="eastAsia"/>
                <w:sz w:val="21"/>
                <w:szCs w:val="20"/>
              </w:rPr>
              <w:t>档</w:t>
            </w:r>
          </w:p>
        </w:tc>
        <w:tc>
          <w:tcPr>
            <w:tcW w:w="815" w:type="dxa"/>
          </w:tcPr>
          <w:p>
            <w:pPr>
              <w:pStyle w:val="63"/>
              <w:spacing w:before="139" w:line="360" w:lineRule="auto"/>
              <w:ind w:left="114" w:right="106"/>
              <w:jc w:val="center"/>
              <w:rPr>
                <w:sz w:val="21"/>
                <w:szCs w:val="20"/>
              </w:rPr>
            </w:pPr>
            <w:r>
              <w:rPr>
                <w:rFonts w:hint="eastAsia"/>
                <w:sz w:val="21"/>
                <w:szCs w:val="20"/>
              </w:rPr>
              <w:t>8 档</w:t>
            </w:r>
          </w:p>
        </w:tc>
        <w:tc>
          <w:tcPr>
            <w:tcW w:w="814" w:type="dxa"/>
          </w:tcPr>
          <w:p>
            <w:pPr>
              <w:pStyle w:val="63"/>
              <w:spacing w:before="139" w:line="360" w:lineRule="auto"/>
              <w:ind w:right="212"/>
              <w:jc w:val="right"/>
              <w:rPr>
                <w:sz w:val="21"/>
                <w:szCs w:val="20"/>
              </w:rPr>
            </w:pPr>
            <w:r>
              <w:rPr>
                <w:rFonts w:hint="eastAsia"/>
                <w:sz w:val="21"/>
                <w:szCs w:val="20"/>
              </w:rPr>
              <w:t>9 档</w:t>
            </w:r>
          </w:p>
        </w:tc>
        <w:tc>
          <w:tcPr>
            <w:tcW w:w="815" w:type="dxa"/>
          </w:tcPr>
          <w:p>
            <w:pPr>
              <w:pStyle w:val="63"/>
              <w:spacing w:before="139" w:line="360" w:lineRule="auto"/>
              <w:ind w:left="113" w:right="106"/>
              <w:jc w:val="center"/>
              <w:rPr>
                <w:sz w:val="21"/>
                <w:szCs w:val="20"/>
              </w:rPr>
            </w:pPr>
            <w:r>
              <w:rPr>
                <w:rFonts w:hint="eastAsia"/>
                <w:sz w:val="21"/>
                <w:szCs w:val="20"/>
              </w:rPr>
              <w:t>10</w:t>
            </w:r>
            <w:r>
              <w:rPr>
                <w:rFonts w:hint="eastAsia"/>
                <w:spacing w:val="-2"/>
                <w:sz w:val="21"/>
                <w:szCs w:val="20"/>
              </w:rPr>
              <w:t xml:space="preserve"> </w:t>
            </w:r>
            <w:r>
              <w:rPr>
                <w:rFonts w:hint="eastAsia"/>
                <w:sz w:val="21"/>
                <w:szCs w:val="20"/>
              </w:rPr>
              <w:t>档</w:t>
            </w:r>
          </w:p>
        </w:tc>
        <w:tc>
          <w:tcPr>
            <w:tcW w:w="815" w:type="dxa"/>
          </w:tcPr>
          <w:p>
            <w:pPr>
              <w:pStyle w:val="63"/>
              <w:spacing w:before="139" w:line="360" w:lineRule="auto"/>
              <w:ind w:left="174"/>
              <w:rPr>
                <w:sz w:val="21"/>
                <w:szCs w:val="20"/>
              </w:rPr>
            </w:pPr>
            <w:r>
              <w:rPr>
                <w:rFonts w:hint="eastAsia"/>
                <w:sz w:val="21"/>
                <w:szCs w:val="20"/>
              </w:rPr>
              <w:t>11</w:t>
            </w:r>
            <w:r>
              <w:rPr>
                <w:rFonts w:hint="eastAsia"/>
                <w:spacing w:val="-7"/>
                <w:sz w:val="21"/>
                <w:szCs w:val="20"/>
              </w:rPr>
              <w:t xml:space="preserve"> </w:t>
            </w:r>
            <w:r>
              <w:rPr>
                <w:rFonts w:hint="eastAsia"/>
                <w:sz w:val="21"/>
                <w:szCs w:val="20"/>
              </w:rPr>
              <w:t>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70" w:type="dxa"/>
          </w:tcPr>
          <w:p>
            <w:pPr>
              <w:pStyle w:val="63"/>
              <w:spacing w:before="157" w:line="360" w:lineRule="auto"/>
              <w:ind w:left="88" w:right="79"/>
              <w:jc w:val="center"/>
              <w:rPr>
                <w:sz w:val="21"/>
                <w:szCs w:val="20"/>
              </w:rPr>
            </w:pPr>
            <w:r>
              <w:rPr>
                <w:rFonts w:hint="eastAsia"/>
                <w:spacing w:val="-12"/>
                <w:w w:val="95"/>
                <w:sz w:val="21"/>
                <w:szCs w:val="20"/>
              </w:rPr>
              <w:t xml:space="preserve">权重 </w:t>
            </w:r>
            <w:r>
              <w:rPr>
                <w:rFonts w:hint="eastAsia"/>
                <w:w w:val="95"/>
                <w:sz w:val="21"/>
                <w:szCs w:val="20"/>
              </w:rPr>
              <w:t>B</w:t>
            </w:r>
          </w:p>
        </w:tc>
        <w:tc>
          <w:tcPr>
            <w:tcW w:w="815" w:type="dxa"/>
          </w:tcPr>
          <w:p>
            <w:pPr>
              <w:pStyle w:val="63"/>
              <w:spacing w:before="171" w:line="360" w:lineRule="auto"/>
              <w:ind w:left="215"/>
              <w:rPr>
                <w:sz w:val="21"/>
                <w:szCs w:val="20"/>
              </w:rPr>
            </w:pPr>
            <w:r>
              <w:rPr>
                <w:rFonts w:hint="eastAsia"/>
                <w:sz w:val="21"/>
                <w:szCs w:val="20"/>
              </w:rPr>
              <w:t>40%</w:t>
            </w:r>
          </w:p>
        </w:tc>
        <w:tc>
          <w:tcPr>
            <w:tcW w:w="815" w:type="dxa"/>
          </w:tcPr>
          <w:p>
            <w:pPr>
              <w:pStyle w:val="63"/>
              <w:spacing w:before="171" w:line="360" w:lineRule="auto"/>
              <w:ind w:left="113" w:right="106"/>
              <w:jc w:val="center"/>
              <w:rPr>
                <w:sz w:val="21"/>
                <w:szCs w:val="20"/>
              </w:rPr>
            </w:pPr>
            <w:r>
              <w:rPr>
                <w:rFonts w:hint="eastAsia"/>
                <w:sz w:val="21"/>
                <w:szCs w:val="20"/>
              </w:rPr>
              <w:t>42%</w:t>
            </w:r>
          </w:p>
        </w:tc>
        <w:tc>
          <w:tcPr>
            <w:tcW w:w="815" w:type="dxa"/>
          </w:tcPr>
          <w:p>
            <w:pPr>
              <w:pStyle w:val="63"/>
              <w:spacing w:before="171" w:line="360" w:lineRule="auto"/>
              <w:ind w:right="202"/>
              <w:jc w:val="right"/>
              <w:rPr>
                <w:sz w:val="21"/>
                <w:szCs w:val="20"/>
              </w:rPr>
            </w:pPr>
            <w:r>
              <w:rPr>
                <w:rFonts w:hint="eastAsia"/>
                <w:sz w:val="21"/>
                <w:szCs w:val="20"/>
              </w:rPr>
              <w:t>44%</w:t>
            </w:r>
          </w:p>
        </w:tc>
        <w:tc>
          <w:tcPr>
            <w:tcW w:w="814" w:type="dxa"/>
          </w:tcPr>
          <w:p>
            <w:pPr>
              <w:pStyle w:val="63"/>
              <w:spacing w:before="171" w:line="360" w:lineRule="auto"/>
              <w:ind w:left="115" w:right="103"/>
              <w:jc w:val="center"/>
              <w:rPr>
                <w:sz w:val="21"/>
                <w:szCs w:val="20"/>
              </w:rPr>
            </w:pPr>
            <w:r>
              <w:rPr>
                <w:rFonts w:hint="eastAsia"/>
                <w:sz w:val="21"/>
                <w:szCs w:val="20"/>
              </w:rPr>
              <w:t>46%</w:t>
            </w:r>
          </w:p>
        </w:tc>
        <w:tc>
          <w:tcPr>
            <w:tcW w:w="815" w:type="dxa"/>
          </w:tcPr>
          <w:p>
            <w:pPr>
              <w:pStyle w:val="63"/>
              <w:spacing w:before="171" w:line="360" w:lineRule="auto"/>
              <w:ind w:left="215"/>
              <w:rPr>
                <w:sz w:val="21"/>
                <w:szCs w:val="20"/>
              </w:rPr>
            </w:pPr>
            <w:r>
              <w:rPr>
                <w:rFonts w:hint="eastAsia"/>
                <w:sz w:val="21"/>
                <w:szCs w:val="20"/>
              </w:rPr>
              <w:t>48%</w:t>
            </w:r>
          </w:p>
        </w:tc>
        <w:tc>
          <w:tcPr>
            <w:tcW w:w="815" w:type="dxa"/>
          </w:tcPr>
          <w:p>
            <w:pPr>
              <w:pStyle w:val="63"/>
              <w:spacing w:before="171" w:line="360" w:lineRule="auto"/>
              <w:ind w:left="213"/>
              <w:rPr>
                <w:sz w:val="21"/>
                <w:szCs w:val="20"/>
              </w:rPr>
            </w:pPr>
            <w:r>
              <w:rPr>
                <w:rFonts w:hint="eastAsia"/>
                <w:sz w:val="21"/>
                <w:szCs w:val="20"/>
              </w:rPr>
              <w:t>50%</w:t>
            </w:r>
          </w:p>
        </w:tc>
        <w:tc>
          <w:tcPr>
            <w:tcW w:w="815" w:type="dxa"/>
          </w:tcPr>
          <w:p>
            <w:pPr>
              <w:pStyle w:val="63"/>
              <w:spacing w:before="171" w:line="360" w:lineRule="auto"/>
              <w:ind w:left="116" w:right="106"/>
              <w:jc w:val="center"/>
              <w:rPr>
                <w:sz w:val="21"/>
                <w:szCs w:val="20"/>
              </w:rPr>
            </w:pPr>
            <w:r>
              <w:rPr>
                <w:rFonts w:hint="eastAsia"/>
                <w:sz w:val="21"/>
                <w:szCs w:val="20"/>
              </w:rPr>
              <w:t>52%</w:t>
            </w:r>
          </w:p>
        </w:tc>
        <w:tc>
          <w:tcPr>
            <w:tcW w:w="815" w:type="dxa"/>
          </w:tcPr>
          <w:p>
            <w:pPr>
              <w:pStyle w:val="63"/>
              <w:spacing w:before="171" w:line="360" w:lineRule="auto"/>
              <w:ind w:left="113" w:right="106"/>
              <w:jc w:val="center"/>
              <w:rPr>
                <w:sz w:val="21"/>
                <w:szCs w:val="20"/>
              </w:rPr>
            </w:pPr>
            <w:r>
              <w:rPr>
                <w:rFonts w:hint="eastAsia"/>
                <w:sz w:val="21"/>
                <w:szCs w:val="20"/>
              </w:rPr>
              <w:t>54%</w:t>
            </w:r>
          </w:p>
        </w:tc>
        <w:tc>
          <w:tcPr>
            <w:tcW w:w="814" w:type="dxa"/>
          </w:tcPr>
          <w:p>
            <w:pPr>
              <w:pStyle w:val="63"/>
              <w:spacing w:before="171" w:line="360" w:lineRule="auto"/>
              <w:ind w:right="202"/>
              <w:jc w:val="right"/>
              <w:rPr>
                <w:sz w:val="21"/>
                <w:szCs w:val="20"/>
              </w:rPr>
            </w:pPr>
            <w:r>
              <w:rPr>
                <w:rFonts w:hint="eastAsia"/>
                <w:sz w:val="21"/>
                <w:szCs w:val="20"/>
              </w:rPr>
              <w:t>56%</w:t>
            </w:r>
          </w:p>
        </w:tc>
        <w:tc>
          <w:tcPr>
            <w:tcW w:w="815" w:type="dxa"/>
          </w:tcPr>
          <w:p>
            <w:pPr>
              <w:pStyle w:val="63"/>
              <w:spacing w:before="171" w:line="360" w:lineRule="auto"/>
              <w:ind w:left="114" w:right="106"/>
              <w:jc w:val="center"/>
              <w:rPr>
                <w:sz w:val="21"/>
                <w:szCs w:val="20"/>
              </w:rPr>
            </w:pPr>
            <w:r>
              <w:rPr>
                <w:rFonts w:hint="eastAsia"/>
                <w:sz w:val="21"/>
                <w:szCs w:val="20"/>
              </w:rPr>
              <w:t>58%</w:t>
            </w:r>
          </w:p>
        </w:tc>
        <w:tc>
          <w:tcPr>
            <w:tcW w:w="815" w:type="dxa"/>
          </w:tcPr>
          <w:p>
            <w:pPr>
              <w:pStyle w:val="63"/>
              <w:spacing w:before="171" w:line="360" w:lineRule="auto"/>
              <w:ind w:left="215"/>
              <w:rPr>
                <w:sz w:val="21"/>
                <w:szCs w:val="20"/>
              </w:rPr>
            </w:pPr>
            <w:r>
              <w:rPr>
                <w:rFonts w:hint="eastAsia"/>
                <w:sz w:val="21"/>
                <w:szCs w:val="20"/>
              </w:rPr>
              <w:t>60%</w:t>
            </w:r>
          </w:p>
        </w:tc>
      </w:tr>
    </w:tbl>
    <w:p>
      <w:pPr>
        <w:pStyle w:val="12"/>
        <w:spacing w:line="360" w:lineRule="auto"/>
        <w:ind w:left="560" w:firstLine="420"/>
      </w:pPr>
      <w:r>
        <w:rPr>
          <w:rFonts w:hint="eastAsia"/>
        </w:rPr>
        <w:t>上述下浮率A和投标价格权重B在开启投标文件前由招标人代表当场随机抽取确定。下浮率A和投标价格权重B抽取时按二次分别抽取A、B值在1-11档中具体排位号。</w:t>
      </w:r>
    </w:p>
    <w:p>
      <w:pPr>
        <w:pStyle w:val="12"/>
        <w:spacing w:line="360" w:lineRule="auto"/>
        <w:ind w:left="560" w:firstLine="420"/>
        <w:rPr>
          <w:b/>
          <w:bCs/>
        </w:rPr>
      </w:pPr>
      <w:r>
        <w:rPr>
          <w:rFonts w:hint="eastAsia"/>
          <w:b/>
          <w:bCs/>
        </w:rPr>
        <w:t>注：投标报价低于招标风险警戒值时，该投标报价不进入评标基准价的计算范围。</w:t>
      </w:r>
    </w:p>
    <w:p>
      <w:pPr>
        <w:pStyle w:val="12"/>
        <w:spacing w:line="360" w:lineRule="auto"/>
        <w:ind w:left="560" w:firstLine="420"/>
      </w:pPr>
      <w:r>
        <w:rPr>
          <w:rFonts w:hint="eastAsia"/>
        </w:rPr>
        <w:t>计算总得分(小数点后保留二位小数、四舍五入)</w:t>
      </w:r>
    </w:p>
    <w:p>
      <w:pPr>
        <w:pStyle w:val="12"/>
        <w:spacing w:line="360" w:lineRule="auto"/>
        <w:ind w:left="560" w:right="621" w:firstLine="420"/>
        <w:jc w:val="both"/>
      </w:pPr>
      <w:r>
        <w:rPr>
          <w:rFonts w:hint="eastAsia"/>
          <w:b/>
          <w:bCs/>
        </w:rPr>
        <w:t>第十四条</w:t>
      </w:r>
      <w:r>
        <w:rPr>
          <w:rFonts w:hint="eastAsia"/>
        </w:rPr>
        <w:t>评标专家依据上述要求评分，打分时保留小数1位，计算时保留小数2位，最终综合得分保留小数2位。投标人的综合得分=资信技术得分+商务得分。</w:t>
      </w:r>
    </w:p>
    <w:p>
      <w:pPr>
        <w:rPr>
          <w:szCs w:val="21"/>
        </w:rPr>
      </w:pPr>
      <w:r>
        <w:rPr>
          <w:rFonts w:hint="eastAsia"/>
          <w:szCs w:val="21"/>
        </w:rPr>
        <w:br w:type="page"/>
      </w:r>
    </w:p>
    <w:p>
      <w:pPr>
        <w:spacing w:line="360" w:lineRule="auto"/>
        <w:ind w:right="64"/>
        <w:jc w:val="center"/>
        <w:rPr>
          <w:sz w:val="23"/>
        </w:rPr>
      </w:pPr>
      <w:r>
        <w:rPr>
          <w:rFonts w:hint="eastAsia"/>
          <w:spacing w:val="22"/>
          <w:sz w:val="32"/>
        </w:rPr>
        <w:t>定标原则</w:t>
      </w:r>
    </w:p>
    <w:p>
      <w:pPr>
        <w:pStyle w:val="12"/>
        <w:spacing w:line="360" w:lineRule="auto"/>
        <w:ind w:left="560" w:right="621" w:firstLine="420"/>
        <w:jc w:val="both"/>
      </w:pPr>
      <w:r>
        <w:rPr>
          <w:rFonts w:hint="eastAsia"/>
        </w:rPr>
        <w:t>一、评标委员会在评审过程中如出现投标人总得分相同的情况，商务报价低的投标人排名在前；如投标人的商务报价也相同，则依次按照资信技术得分高者优先；当前者均相同时按原保留小数点退后一位计算，得分高者优先，以此类推。</w:t>
      </w:r>
    </w:p>
    <w:p>
      <w:pPr>
        <w:pStyle w:val="12"/>
        <w:spacing w:line="360" w:lineRule="auto"/>
        <w:ind w:left="560" w:right="621" w:firstLine="420"/>
        <w:jc w:val="both"/>
      </w:pPr>
      <w:r>
        <w:rPr>
          <w:rFonts w:hint="eastAsia"/>
        </w:rPr>
        <w:t>二、评标委员会应当在对投标文件进行评审和比较后出具评标书面报告，推荐得分最高的3名投标人为中标候选人，并标明排列顺序。评标报告应当由评标委员会全体成员签字；如有保留意见，可在评标报告中阐明。评标委员会成员拒绝在评标报告上签字且不陈述理由的，视为同意评标结论。对于评审过程中出现无法达成一致的争议问题，按少数服从多少的原则确定。</w:t>
      </w:r>
    </w:p>
    <w:p>
      <w:pPr>
        <w:pStyle w:val="12"/>
        <w:spacing w:line="360" w:lineRule="auto"/>
        <w:ind w:left="560" w:right="621" w:firstLine="420"/>
        <w:jc w:val="both"/>
      </w:pPr>
      <w:r>
        <w:rPr>
          <w:rFonts w:hint="eastAsia"/>
        </w:rPr>
        <w:t>三、在中标公示前，招标人通过中国裁判文书网（https：//wenshu.court.gov.cn/）按照招标文件约定对拟中标单位及其拟派项目负责人的行贿犯罪记录进行查询，查询结果以网站页面显示内容为准。如无行贿犯罪记录，则对中标候选人的情况在招标公告发布网站予以公示；如存在行贿犯罪记录，取消其中标候选资格。</w:t>
      </w:r>
    </w:p>
    <w:p>
      <w:pPr>
        <w:pStyle w:val="12"/>
        <w:spacing w:line="360" w:lineRule="auto"/>
        <w:ind w:left="560" w:right="621" w:firstLine="420"/>
        <w:jc w:val="both"/>
      </w:pPr>
      <w:r>
        <w:rPr>
          <w:rFonts w:hint="eastAsia"/>
        </w:rPr>
        <w:t xml:space="preserve">四、中标候选人在全国公共资源交易平台（浙江省公共资源交易服务平台）（浙江政务服务网） </w:t>
      </w:r>
      <w:r>
        <w:fldChar w:fldCharType="begin"/>
      </w:r>
      <w:r>
        <w:instrText xml:space="preserve"> HYPERLINK "http://zjpubservice.zjzwfw.gov.cn/" \h </w:instrText>
      </w:r>
      <w:r>
        <w:fldChar w:fldCharType="separate"/>
      </w:r>
      <w:r>
        <w:rPr>
          <w:rFonts w:hint="eastAsia"/>
          <w:b/>
          <w:bCs/>
        </w:rPr>
        <w:t xml:space="preserve">http://zjpubservice.zjzwfw.gov.cn </w:t>
      </w:r>
      <w:r>
        <w:rPr>
          <w:rFonts w:hint="eastAsia"/>
          <w:b/>
          <w:bCs/>
        </w:rPr>
        <w:fldChar w:fldCharType="end"/>
      </w:r>
      <w:r>
        <w:rPr>
          <w:rFonts w:hint="eastAsia"/>
        </w:rPr>
        <w:t>、</w:t>
      </w:r>
      <w:r>
        <w:rPr>
          <w:rFonts w:hint="eastAsia"/>
          <w:szCs w:val="22"/>
        </w:rPr>
        <w:t>嘉兴市公共资源交易网（海盐）</w:t>
      </w:r>
      <w:r>
        <w:rPr>
          <w:rFonts w:hint="eastAsia"/>
          <w:b/>
          <w:bCs/>
        </w:rPr>
        <w:t>（</w:t>
      </w:r>
      <w:r>
        <w:fldChar w:fldCharType="begin"/>
      </w:r>
      <w:r>
        <w:instrText xml:space="preserve"> HYPERLINK "http://jxszwsjb.jiaxing.gov.cn/hymain/" \h </w:instrText>
      </w:r>
      <w:r>
        <w:fldChar w:fldCharType="separate"/>
      </w:r>
      <w:r>
        <w:rPr>
          <w:rFonts w:hint="eastAsia"/>
          <w:b/>
          <w:bCs/>
        </w:rPr>
        <w:t>http://jxszwsjb.jiaxing.gov.cn/hymain/</w:t>
      </w:r>
      <w:r>
        <w:rPr>
          <w:rFonts w:hint="eastAsia"/>
          <w:b/>
          <w:bCs/>
        </w:rPr>
        <w:fldChar w:fldCharType="end"/>
      </w:r>
      <w:r>
        <w:rPr>
          <w:rFonts w:hint="eastAsia"/>
          <w:b/>
          <w:bCs/>
        </w:rPr>
        <w:t>）</w:t>
      </w:r>
      <w:r>
        <w:rPr>
          <w:rFonts w:hint="eastAsia"/>
        </w:rPr>
        <w:t>上发布公示，公示期限为3天。</w:t>
      </w:r>
    </w:p>
    <w:p>
      <w:pPr>
        <w:pStyle w:val="12"/>
        <w:spacing w:line="360" w:lineRule="auto"/>
        <w:ind w:left="560" w:right="621" w:firstLine="420"/>
        <w:jc w:val="both"/>
      </w:pPr>
      <w:r>
        <w:rPr>
          <w:rFonts w:hint="eastAsia"/>
        </w:rPr>
        <w:t>五、招标人应当确定排名第一的中标候选人为中标人。排名第一的中标候选人出现下列情形之一，导致其已不符合中标条件的，招标人经向相关行业招投标行政监督部门和公共资源交易办办理报批核准手续后，可以按照评标委员会提出的中标候选人名单排序依次确定其他中标候选人为中标人，也可以重新招标：</w:t>
      </w:r>
    </w:p>
    <w:p>
      <w:pPr>
        <w:pStyle w:val="12"/>
        <w:spacing w:line="360" w:lineRule="auto"/>
        <w:ind w:left="560" w:right="621" w:firstLine="420"/>
        <w:jc w:val="both"/>
      </w:pPr>
      <w:r>
        <w:rPr>
          <w:rFonts w:hint="eastAsia"/>
        </w:rPr>
        <w:t>1、放弃中标的；</w:t>
      </w:r>
    </w:p>
    <w:p>
      <w:pPr>
        <w:pStyle w:val="12"/>
        <w:spacing w:line="360" w:lineRule="auto"/>
        <w:ind w:left="560" w:right="621" w:firstLine="420"/>
        <w:jc w:val="both"/>
      </w:pPr>
      <w:r>
        <w:rPr>
          <w:rFonts w:hint="eastAsia"/>
        </w:rPr>
        <w:t>2、因不可抗力无法履行合同的；</w:t>
      </w:r>
    </w:p>
    <w:p>
      <w:pPr>
        <w:pStyle w:val="12"/>
        <w:spacing w:line="360" w:lineRule="auto"/>
        <w:ind w:left="560" w:right="621" w:firstLine="420"/>
        <w:jc w:val="both"/>
      </w:pPr>
      <w:r>
        <w:rPr>
          <w:rFonts w:hint="eastAsia"/>
        </w:rPr>
        <w:t>3、不按照招标文件要求提交履约保证金的；</w:t>
      </w:r>
    </w:p>
    <w:p>
      <w:pPr>
        <w:pStyle w:val="12"/>
        <w:spacing w:line="360" w:lineRule="auto"/>
        <w:ind w:left="560" w:right="621" w:firstLine="420"/>
        <w:jc w:val="both"/>
      </w:pPr>
      <w:r>
        <w:rPr>
          <w:rFonts w:hint="eastAsia"/>
        </w:rPr>
        <w:t>4、被查实存在影响中标结果的违法行为的；</w:t>
      </w:r>
    </w:p>
    <w:p>
      <w:pPr>
        <w:pStyle w:val="12"/>
        <w:spacing w:line="360" w:lineRule="auto"/>
        <w:ind w:left="560" w:right="621" w:firstLine="420"/>
        <w:jc w:val="both"/>
      </w:pPr>
      <w:r>
        <w:rPr>
          <w:rFonts w:hint="eastAsia"/>
        </w:rPr>
        <w:t>5、其他导致第一中标候选人不符合中标条件的情形。</w:t>
      </w:r>
    </w:p>
    <w:p>
      <w:pPr>
        <w:pStyle w:val="12"/>
        <w:spacing w:line="360" w:lineRule="auto"/>
        <w:ind w:left="560" w:right="621" w:firstLine="420"/>
        <w:jc w:val="both"/>
      </w:pPr>
      <w:r>
        <w:rPr>
          <w:rFonts w:hint="eastAsia"/>
        </w:rPr>
        <w:t>五、招标人可以授权评标委员会直接确定中标人，不得在评标委员会推荐的中标候选人之外确定中标人。</w:t>
      </w:r>
    </w:p>
    <w:p>
      <w:pPr>
        <w:pStyle w:val="12"/>
        <w:spacing w:line="360" w:lineRule="auto"/>
        <w:ind w:left="560" w:right="621" w:firstLine="420"/>
        <w:jc w:val="both"/>
      </w:pPr>
      <w:r>
        <w:rPr>
          <w:rFonts w:hint="eastAsia"/>
        </w:rPr>
        <w:t>六、中标人无正当理由放弃中标的，取消其中标资格，且投标保证金不予退还，同时由行政监督部门列入投标企业不良行为记录并予以公示。</w:t>
      </w:r>
    </w:p>
    <w:p>
      <w:pPr>
        <w:pStyle w:val="13"/>
        <w:ind w:left="0"/>
      </w:pPr>
    </w:p>
    <w:p>
      <w:r>
        <w:rPr>
          <w:rFonts w:hint="eastAsia"/>
          <w:b/>
          <w:bCs/>
          <w:spacing w:val="14"/>
          <w:sz w:val="36"/>
          <w:szCs w:val="36"/>
        </w:rPr>
        <w:br w:type="page"/>
      </w:r>
    </w:p>
    <w:bookmarkEnd w:id="74"/>
    <w:p>
      <w:pPr>
        <w:pStyle w:val="2"/>
        <w:spacing w:before="0"/>
        <w:ind w:right="64"/>
        <w:rPr>
          <w:b/>
          <w:bCs/>
          <w:spacing w:val="14"/>
          <w:sz w:val="36"/>
          <w:szCs w:val="36"/>
        </w:rPr>
      </w:pPr>
      <w:bookmarkStart w:id="75" w:name="第四章_合同条款及格式"/>
      <w:bookmarkEnd w:id="75"/>
      <w:bookmarkStart w:id="76" w:name="_Toc21052"/>
      <w:bookmarkStart w:id="77" w:name="_Toc19616"/>
      <w:r>
        <w:rPr>
          <w:rFonts w:hint="eastAsia"/>
          <w:b/>
          <w:bCs/>
          <w:spacing w:val="14"/>
          <w:sz w:val="36"/>
          <w:szCs w:val="36"/>
        </w:rPr>
        <w:t>第四章 合同条款及格式</w:t>
      </w:r>
      <w:bookmarkEnd w:id="76"/>
      <w:bookmarkEnd w:id="77"/>
    </w:p>
    <w:p>
      <w:pPr>
        <w:keepNext/>
        <w:keepLines/>
        <w:spacing w:before="360" w:beforeLines="150" w:after="120" w:afterLines="50" w:line="400" w:lineRule="exact"/>
        <w:ind w:firstLine="301"/>
        <w:jc w:val="center"/>
        <w:outlineLvl w:val="2"/>
        <w:rPr>
          <w:b/>
          <w:bCs/>
          <w:sz w:val="24"/>
          <w:szCs w:val="24"/>
        </w:rPr>
      </w:pPr>
      <w:bookmarkStart w:id="78" w:name="_Toc18320"/>
      <w:bookmarkStart w:id="79" w:name="_Toc7840"/>
      <w:bookmarkStart w:id="80" w:name="_Toc17449"/>
      <w:bookmarkStart w:id="81" w:name="_Toc297017781"/>
      <w:bookmarkStart w:id="82" w:name="_Toc406074420"/>
      <w:r>
        <w:rPr>
          <w:rFonts w:hint="eastAsia"/>
          <w:b/>
          <w:bCs/>
          <w:sz w:val="24"/>
          <w:szCs w:val="24"/>
        </w:rPr>
        <w:t>一、合同协议书</w:t>
      </w:r>
      <w:bookmarkEnd w:id="78"/>
      <w:bookmarkEnd w:id="79"/>
      <w:bookmarkEnd w:id="80"/>
      <w:bookmarkEnd w:id="81"/>
      <w:bookmarkEnd w:id="82"/>
    </w:p>
    <w:p>
      <w:pPr>
        <w:spacing w:line="360" w:lineRule="auto"/>
        <w:ind w:firstLine="420" w:firstLineChars="200"/>
        <w:rPr>
          <w:szCs w:val="21"/>
          <w:u w:val="single"/>
        </w:rPr>
      </w:pPr>
      <w:r>
        <w:rPr>
          <w:rFonts w:hint="eastAsia"/>
          <w:szCs w:val="21"/>
        </w:rPr>
        <w:t>甲方（招标人）：</w:t>
      </w:r>
      <w:r>
        <w:rPr>
          <w:rFonts w:hint="eastAsia"/>
          <w:szCs w:val="21"/>
          <w:u w:val="single"/>
        </w:rPr>
        <w:t xml:space="preserve">海盐县人民医院 </w:t>
      </w:r>
    </w:p>
    <w:p>
      <w:pPr>
        <w:spacing w:line="360" w:lineRule="auto"/>
        <w:ind w:firstLine="420" w:firstLineChars="200"/>
        <w:rPr>
          <w:szCs w:val="21"/>
          <w:u w:val="single"/>
        </w:rPr>
      </w:pPr>
      <w:r>
        <w:rPr>
          <w:rFonts w:hint="eastAsia"/>
          <w:szCs w:val="21"/>
        </w:rPr>
        <w:t>乙方（供应商）：</w:t>
      </w:r>
      <w:r>
        <w:rPr>
          <w:rFonts w:hint="eastAsia"/>
          <w:szCs w:val="21"/>
          <w:u w:val="single"/>
        </w:rPr>
        <w:t xml:space="preserve">             （供应商名称）           </w:t>
      </w:r>
    </w:p>
    <w:p>
      <w:pPr>
        <w:spacing w:line="360" w:lineRule="auto"/>
        <w:ind w:firstLine="422" w:firstLineChars="200"/>
        <w:rPr>
          <w:b/>
          <w:szCs w:val="21"/>
        </w:rPr>
      </w:pPr>
      <w:r>
        <w:rPr>
          <w:rFonts w:hint="eastAsia"/>
          <w:b/>
          <w:szCs w:val="21"/>
        </w:rPr>
        <w:t>一、项目概况</w:t>
      </w:r>
    </w:p>
    <w:p>
      <w:pPr>
        <w:spacing w:line="360" w:lineRule="auto"/>
        <w:ind w:firstLine="420" w:firstLineChars="200"/>
        <w:rPr>
          <w:szCs w:val="21"/>
          <w:u w:val="single"/>
        </w:rPr>
      </w:pPr>
      <w:r>
        <w:rPr>
          <w:rFonts w:hint="eastAsia"/>
          <w:szCs w:val="21"/>
        </w:rPr>
        <w:t>1、项目名称：</w:t>
      </w:r>
      <w:r>
        <w:rPr>
          <w:rFonts w:hint="eastAsia"/>
          <w:szCs w:val="21"/>
          <w:u w:val="single"/>
        </w:rPr>
        <w:t>海盐县人民医院迁建工程（暂名）</w:t>
      </w:r>
      <w:r>
        <w:rPr>
          <w:rFonts w:hint="eastAsia"/>
          <w:szCs w:val="21"/>
          <w:u w:val="single"/>
          <w:lang w:val="zh-CN" w:eastAsia="zh-CN"/>
        </w:rPr>
        <w:t>食堂厨房</w:t>
      </w:r>
      <w:r>
        <w:rPr>
          <w:rFonts w:hint="eastAsia"/>
          <w:szCs w:val="21"/>
          <w:u w:val="single"/>
          <w:lang w:val="en-US" w:eastAsia="zh-CN"/>
        </w:rPr>
        <w:t>工程</w:t>
      </w:r>
    </w:p>
    <w:p>
      <w:pPr>
        <w:pStyle w:val="25"/>
        <w:spacing w:line="360" w:lineRule="auto"/>
        <w:ind w:firstLineChars="200"/>
        <w:rPr>
          <w:sz w:val="21"/>
          <w:szCs w:val="21"/>
          <w:u w:val="single"/>
        </w:rPr>
      </w:pPr>
      <w:r>
        <w:rPr>
          <w:rFonts w:hint="eastAsia"/>
          <w:sz w:val="21"/>
          <w:szCs w:val="21"/>
        </w:rPr>
        <w:t>2、项目地点：</w:t>
      </w:r>
      <w:r>
        <w:rPr>
          <w:rFonts w:hint="eastAsia"/>
          <w:sz w:val="21"/>
          <w:szCs w:val="21"/>
          <w:u w:val="single"/>
        </w:rPr>
        <w:t>嘉兴市海盐县武原街道，东至滨海大道，南至建丰路，西至空地，北至乐园路。</w:t>
      </w:r>
    </w:p>
    <w:p>
      <w:pPr>
        <w:pStyle w:val="62"/>
        <w:numPr>
          <w:ilvl w:val="0"/>
          <w:numId w:val="0"/>
        </w:numPr>
        <w:tabs>
          <w:tab w:val="left" w:pos="1348"/>
        </w:tabs>
        <w:spacing w:line="360" w:lineRule="auto"/>
        <w:ind w:left="420" w:leftChars="200" w:firstLine="0" w:firstLineChars="0"/>
        <w:rPr>
          <w:rFonts w:hint="default" w:eastAsia="宋体"/>
          <w:sz w:val="21"/>
          <w:szCs w:val="21"/>
          <w:highlight w:val="none"/>
          <w:u w:val="single"/>
          <w:lang w:val="en-US" w:eastAsia="zh-CN"/>
        </w:rPr>
      </w:pPr>
      <w:r>
        <w:rPr>
          <w:rFonts w:hint="eastAsia"/>
          <w:sz w:val="21"/>
          <w:szCs w:val="21"/>
        </w:rPr>
        <w:t>3、项目内容：</w:t>
      </w:r>
      <w:r>
        <w:rPr>
          <w:rFonts w:hint="eastAsia"/>
          <w:sz w:val="21"/>
          <w:szCs w:val="21"/>
          <w:highlight w:val="none"/>
          <w:u w:val="single"/>
        </w:rPr>
        <w:t>主要包括</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包含本项目食堂厨房</w:t>
      </w:r>
      <w:r>
        <w:rPr>
          <w:rFonts w:hint="eastAsia" w:cs="宋体"/>
          <w:color w:val="000000" w:themeColor="text1"/>
          <w:sz w:val="21"/>
          <w:szCs w:val="21"/>
          <w:highlight w:val="none"/>
          <w:u w:val="single"/>
          <w:lang w:val="en-US" w:eastAsia="zh-CN"/>
          <w14:textFill>
            <w14:solidFill>
              <w14:schemeClr w14:val="tx1"/>
            </w14:solidFill>
          </w14:textFill>
        </w:rPr>
        <w:t>设备的</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供货、安装、调试和试运行、验收开通、技术服务及培训、售后维修服务以及与工程总承包的协调、配合工作等</w:t>
      </w:r>
      <w:r>
        <w:rPr>
          <w:rFonts w:hint="eastAsia"/>
          <w:color w:val="000000" w:themeColor="text1"/>
          <w:sz w:val="21"/>
          <w:szCs w:val="21"/>
          <w:highlight w:val="none"/>
          <w:u w:val="single"/>
          <w14:textFill>
            <w14:solidFill>
              <w14:schemeClr w14:val="tx1"/>
            </w14:solidFill>
          </w14:textFill>
        </w:rPr>
        <w:t>。</w:t>
      </w:r>
    </w:p>
    <w:p>
      <w:pPr>
        <w:spacing w:line="360" w:lineRule="auto"/>
        <w:ind w:firstLine="422" w:firstLineChars="200"/>
        <w:rPr>
          <w:b/>
          <w:szCs w:val="21"/>
        </w:rPr>
      </w:pPr>
      <w:r>
        <w:rPr>
          <w:rFonts w:hint="eastAsia"/>
          <w:b/>
          <w:szCs w:val="21"/>
        </w:rPr>
        <w:t>二、合同范围和条件</w:t>
      </w:r>
    </w:p>
    <w:p>
      <w:pPr>
        <w:spacing w:line="360" w:lineRule="auto"/>
        <w:ind w:firstLine="420" w:firstLineChars="200"/>
        <w:rPr>
          <w:szCs w:val="21"/>
        </w:rPr>
      </w:pPr>
      <w:r>
        <w:rPr>
          <w:rFonts w:hint="eastAsia"/>
          <w:szCs w:val="21"/>
        </w:rPr>
        <w:t>本合同的范围和条件应与上述规定的合同文件内容一致。</w:t>
      </w:r>
    </w:p>
    <w:p>
      <w:pPr>
        <w:spacing w:line="360" w:lineRule="auto"/>
        <w:ind w:firstLine="422" w:firstLineChars="200"/>
        <w:rPr>
          <w:b/>
          <w:szCs w:val="21"/>
        </w:rPr>
      </w:pPr>
      <w:r>
        <w:rPr>
          <w:rFonts w:hint="eastAsia"/>
          <w:b/>
          <w:szCs w:val="21"/>
        </w:rPr>
        <w:t>三、合同标的及数量</w:t>
      </w:r>
    </w:p>
    <w:p>
      <w:pPr>
        <w:spacing w:line="360" w:lineRule="auto"/>
        <w:ind w:firstLine="420" w:firstLineChars="200"/>
        <w:rPr>
          <w:szCs w:val="21"/>
        </w:rPr>
      </w:pPr>
      <w:r>
        <w:rPr>
          <w:rFonts w:hint="eastAsia"/>
          <w:szCs w:val="21"/>
        </w:rPr>
        <w:t>本合同要求提供的产品、规格和数量，详见合同附件《投标报价明细表》。</w:t>
      </w:r>
    </w:p>
    <w:p>
      <w:pPr>
        <w:spacing w:line="360" w:lineRule="auto"/>
        <w:ind w:firstLine="422" w:firstLineChars="200"/>
        <w:rPr>
          <w:b/>
          <w:szCs w:val="21"/>
        </w:rPr>
      </w:pPr>
      <w:r>
        <w:rPr>
          <w:rFonts w:hint="eastAsia"/>
          <w:b/>
          <w:szCs w:val="21"/>
        </w:rPr>
        <w:t>四、合同工期</w:t>
      </w:r>
    </w:p>
    <w:p>
      <w:pPr>
        <w:pStyle w:val="64"/>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合同总工期</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个月</w:t>
      </w:r>
      <w:r>
        <w:rPr>
          <w:rFonts w:hint="eastAsia" w:ascii="宋体" w:hAnsi="宋体" w:cs="宋体"/>
          <w:color w:val="000000" w:themeColor="text1"/>
          <w:highlight w:val="none"/>
          <w14:textFill>
            <w14:solidFill>
              <w14:schemeClr w14:val="tx1"/>
            </w14:solidFill>
          </w14:textFill>
        </w:rPr>
        <w:t>，具体开工日期以甲方（监理人）发出的排产通知为准。</w:t>
      </w:r>
    </w:p>
    <w:p>
      <w:pPr>
        <w:pStyle w:val="64"/>
        <w:spacing w:line="360" w:lineRule="auto"/>
        <w:ind w:firstLine="420" w:firstLineChars="200"/>
        <w:rPr>
          <w:rFonts w:ascii="宋体" w:hAnsi="宋体" w:cs="宋体"/>
          <w:highlight w:val="none"/>
        </w:rPr>
      </w:pPr>
      <w:r>
        <w:rPr>
          <w:rFonts w:hint="eastAsia" w:ascii="宋体" w:hAnsi="宋体" w:cs="宋体"/>
          <w:highlight w:val="none"/>
        </w:rPr>
        <w:t>计划开工日期：</w:t>
      </w:r>
      <w:r>
        <w:rPr>
          <w:rFonts w:hint="eastAsia" w:ascii="宋体" w:hAnsi="宋体" w:cs="宋体"/>
          <w:highlight w:val="none"/>
          <w:u w:val="single"/>
        </w:rPr>
        <w:t xml:space="preserve">  / </w:t>
      </w:r>
      <w:r>
        <w:rPr>
          <w:rFonts w:hint="eastAsia" w:ascii="宋体" w:hAnsi="宋体" w:cs="宋体"/>
          <w:highlight w:val="none"/>
        </w:rPr>
        <w:t>年</w:t>
      </w:r>
      <w:r>
        <w:rPr>
          <w:rFonts w:hint="eastAsia" w:ascii="宋体" w:hAnsi="宋体" w:cs="宋体"/>
          <w:highlight w:val="none"/>
          <w:u w:val="single"/>
        </w:rPr>
        <w:t xml:space="preserve"> / </w:t>
      </w:r>
      <w:r>
        <w:rPr>
          <w:rFonts w:hint="eastAsia" w:ascii="宋体" w:hAnsi="宋体" w:cs="宋体"/>
          <w:highlight w:val="none"/>
        </w:rPr>
        <w:t>月</w:t>
      </w:r>
      <w:r>
        <w:rPr>
          <w:rFonts w:hint="eastAsia" w:ascii="宋体" w:hAnsi="宋体" w:cs="宋体"/>
          <w:highlight w:val="none"/>
          <w:u w:val="single"/>
        </w:rPr>
        <w:t xml:space="preserve"> / </w:t>
      </w:r>
      <w:r>
        <w:rPr>
          <w:rFonts w:hint="eastAsia" w:ascii="宋体" w:hAnsi="宋体" w:cs="宋体"/>
          <w:highlight w:val="none"/>
        </w:rPr>
        <w:t>日。</w:t>
      </w:r>
    </w:p>
    <w:p>
      <w:pPr>
        <w:pStyle w:val="64"/>
        <w:spacing w:line="360" w:lineRule="auto"/>
        <w:ind w:firstLine="420" w:firstLineChars="200"/>
        <w:rPr>
          <w:rFonts w:ascii="宋体" w:hAnsi="宋体" w:cs="宋体"/>
          <w:highlight w:val="none"/>
        </w:rPr>
      </w:pPr>
      <w:r>
        <w:rPr>
          <w:rFonts w:hint="eastAsia" w:ascii="宋体" w:hAnsi="宋体" w:cs="宋体"/>
          <w:highlight w:val="none"/>
        </w:rPr>
        <w:t>计划竣工日期：</w:t>
      </w:r>
      <w:r>
        <w:rPr>
          <w:rFonts w:hint="eastAsia" w:ascii="宋体" w:hAnsi="宋体" w:cs="宋体"/>
          <w:highlight w:val="none"/>
          <w:u w:val="single"/>
        </w:rPr>
        <w:t xml:space="preserve"> /  </w:t>
      </w:r>
      <w:r>
        <w:rPr>
          <w:rFonts w:hint="eastAsia" w:ascii="宋体" w:hAnsi="宋体" w:cs="宋体"/>
          <w:highlight w:val="none"/>
        </w:rPr>
        <w:t>年</w:t>
      </w:r>
      <w:r>
        <w:rPr>
          <w:rFonts w:hint="eastAsia" w:ascii="宋体" w:hAnsi="宋体" w:cs="宋体"/>
          <w:highlight w:val="none"/>
          <w:u w:val="single"/>
        </w:rPr>
        <w:t xml:space="preserve"> / </w:t>
      </w:r>
      <w:r>
        <w:rPr>
          <w:rFonts w:hint="eastAsia" w:ascii="宋体" w:hAnsi="宋体" w:cs="宋体"/>
          <w:highlight w:val="none"/>
        </w:rPr>
        <w:t>月</w:t>
      </w:r>
      <w:r>
        <w:rPr>
          <w:rFonts w:hint="eastAsia" w:ascii="宋体" w:hAnsi="宋体" w:cs="宋体"/>
          <w:highlight w:val="none"/>
          <w:u w:val="single"/>
        </w:rPr>
        <w:t xml:space="preserve"> / </w:t>
      </w:r>
      <w:r>
        <w:rPr>
          <w:rFonts w:hint="eastAsia" w:ascii="宋体" w:hAnsi="宋体" w:cs="宋体"/>
          <w:highlight w:val="none"/>
        </w:rPr>
        <w:t>日。</w:t>
      </w:r>
    </w:p>
    <w:p>
      <w:pPr>
        <w:spacing w:line="360" w:lineRule="auto"/>
        <w:ind w:firstLine="422" w:firstLineChars="200"/>
        <w:rPr>
          <w:szCs w:val="21"/>
          <w:highlight w:val="none"/>
        </w:rPr>
      </w:pPr>
      <w:r>
        <w:rPr>
          <w:rFonts w:hint="eastAsia"/>
          <w:b/>
          <w:szCs w:val="21"/>
          <w:highlight w:val="none"/>
        </w:rPr>
        <w:t>五、质量标准：</w:t>
      </w:r>
      <w:r>
        <w:rPr>
          <w:rFonts w:hint="eastAsia"/>
          <w:color w:val="000000" w:themeColor="text1"/>
          <w:sz w:val="21"/>
          <w:szCs w:val="21"/>
          <w:highlight w:val="none"/>
          <w14:textFill>
            <w14:solidFill>
              <w14:schemeClr w14:val="tx1"/>
            </w14:solidFill>
          </w14:textFill>
        </w:rPr>
        <w:t>符合图纸设计要求，并经招标人验收通过、配合总承包单位争创钱江杯、鲁班奖；配合总承包单位做好本项目绿色建筑2星、BIM技术服务。</w:t>
      </w:r>
    </w:p>
    <w:p>
      <w:pPr>
        <w:spacing w:line="360" w:lineRule="auto"/>
        <w:ind w:firstLine="422" w:firstLineChars="200"/>
        <w:rPr>
          <w:b/>
          <w:szCs w:val="21"/>
          <w:highlight w:val="none"/>
        </w:rPr>
      </w:pPr>
      <w:r>
        <w:rPr>
          <w:rFonts w:hint="eastAsia"/>
          <w:b/>
          <w:szCs w:val="21"/>
          <w:highlight w:val="none"/>
        </w:rPr>
        <w:t>六、合同总价</w:t>
      </w:r>
    </w:p>
    <w:p>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本合同为固定总价合同，一次性包干，今后结算时不作调整，合同总价（含税中标价）为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人民币元，大写</w:t>
      </w:r>
      <w:r>
        <w:rPr>
          <w:rFonts w:hint="eastAsia" w:ascii="宋体" w:hAnsi="宋体" w:eastAsia="宋体" w:cs="宋体"/>
          <w:color w:val="000000" w:themeColor="text1"/>
          <w:sz w:val="21"/>
          <w:szCs w:val="21"/>
          <w:highlight w:val="none"/>
          <w:u w:val="single"/>
          <w:lang w:val="en-US" w:eastAsia="zh-CN" w:bidi="ar-SA"/>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元</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pStyle w:val="63"/>
        <w:keepNext w:val="0"/>
        <w:keepLines w:val="0"/>
        <w:pageBreakBefore w:val="0"/>
        <w:widowControl w:val="0"/>
        <w:kinsoku/>
        <w:wordWrap/>
        <w:overflowPunct/>
        <w:topLinePunct w:val="0"/>
        <w:autoSpaceDE w:val="0"/>
        <w:autoSpaceDN w:val="0"/>
        <w:bidi w:val="0"/>
        <w:adjustRightInd/>
        <w:snapToGrid/>
        <w:spacing w:before="22" w:line="360" w:lineRule="auto"/>
        <w:ind w:left="103" w:leftChars="49" w:right="-17" w:firstLine="310" w:firstLineChars="156"/>
        <w:textAlignment w:val="auto"/>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cs="宋体"/>
          <w:color w:val="000000" w:themeColor="text1"/>
          <w:w w:val="95"/>
          <w:sz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乙方的合同价包括：</w:t>
      </w:r>
    </w:p>
    <w:p>
      <w:pPr>
        <w:spacing w:line="36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①按照</w:t>
      </w:r>
      <w:r>
        <w:rPr>
          <w:rFonts w:hint="eastAsia" w:cs="宋体"/>
          <w:color w:val="000000" w:themeColor="text1"/>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sz w:val="21"/>
          <w:szCs w:val="21"/>
          <w:highlight w:val="none"/>
          <w:lang w:val="en-US" w:eastAsia="zh-CN"/>
          <w14:textFill>
            <w14:solidFill>
              <w14:schemeClr w14:val="tx1"/>
            </w14:solidFill>
          </w14:textFill>
        </w:rPr>
        <w:t>提供的设计图纸、货物清单以及本项目技术要求（包括如遇到图纸、货物清单不明确或缺项的内容须无条件满足招标人功能要求进行的设计）；</w:t>
      </w:r>
    </w:p>
    <w:p>
      <w:pPr>
        <w:spacing w:line="36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②设备供货、运输、卸货、保管、施工、安装、调试、检测等相关费用，并最终通过验收，同时负责技术服务与培训；</w:t>
      </w:r>
    </w:p>
    <w:p>
      <w:pPr>
        <w:spacing w:line="360" w:lineRule="auto"/>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③深化设计增加的费用（含材料、设备及安装费）；</w:t>
      </w:r>
    </w:p>
    <w:p>
      <w:pPr>
        <w:spacing w:line="360" w:lineRule="auto"/>
        <w:ind w:firstLine="420" w:firstLineChars="200"/>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④项目实施过程中的开孔和完工后的填补、修复与清理费用（如用水泥砂浆、砼材料填实设备、框架及建筑结构之间的缝隙；外露的电线、管道修补、批灰、面层修饰等工作）</w:t>
      </w:r>
    </w:p>
    <w:p>
      <w:pPr>
        <w:spacing w:line="360" w:lineRule="auto"/>
        <w:ind w:firstLine="420" w:firstLineChars="200"/>
        <w:rPr>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说明</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本项目实际发生的货物清单应以甲方最终批准的由乙方完成的进一步深化设计图纸所对应的货物清单为准，本工程实际发生的货物清单供货安装费用与中标货物清单供货安装费用有差异的一律不予调整，如因功能性调整，</w:t>
      </w:r>
      <w:r>
        <w:rPr>
          <w:rFonts w:hint="eastAsia" w:ascii="宋体" w:hAnsi="宋体" w:eastAsia="宋体" w:cs="宋体"/>
          <w:color w:val="000000" w:themeColor="text1"/>
          <w:sz w:val="21"/>
          <w:szCs w:val="21"/>
          <w:highlight w:val="none"/>
          <w:lang w:val="en-US" w:eastAsia="zh-CN"/>
          <w14:textFill>
            <w14:solidFill>
              <w14:schemeClr w14:val="tx1"/>
            </w14:solidFill>
          </w14:textFill>
        </w:rPr>
        <w:t>如因甲方要求增加或减少工作内容，则按实调整</w:t>
      </w:r>
      <w:r>
        <w:rPr>
          <w:rFonts w:hint="eastAsia" w:ascii="宋体" w:hAnsi="宋体" w:eastAsia="宋体" w:cs="宋体"/>
          <w:color w:val="000000" w:themeColor="text1"/>
          <w:sz w:val="21"/>
          <w:szCs w:val="21"/>
          <w:highlight w:val="none"/>
          <w:u w:val="none"/>
          <w:lang w:val="en-US" w:eastAsia="zh-CN" w:bidi="ar-SA"/>
          <w14:textFill>
            <w14:solidFill>
              <w14:schemeClr w14:val="tx1"/>
            </w14:solidFill>
          </w14:textFill>
        </w:rPr>
        <w:t>。本项目纳入总承包管理范围，总承包管理服务费已包含在总承包合同价中，总承包管理服务内容以外所发生总包管理配合费已计入本项目合同价</w:t>
      </w:r>
      <w:r>
        <w:rPr>
          <w:rFonts w:hint="eastAsia"/>
          <w:color w:val="000000" w:themeColor="text1"/>
          <w:sz w:val="21"/>
          <w:szCs w:val="21"/>
          <w:highlight w:val="none"/>
          <w14:textFill>
            <w14:solidFill>
              <w14:schemeClr w14:val="tx1"/>
            </w14:solidFill>
          </w14:textFill>
        </w:rPr>
        <w:t>。</w:t>
      </w:r>
    </w:p>
    <w:p>
      <w:pPr>
        <w:spacing w:line="360" w:lineRule="auto"/>
        <w:ind w:firstLine="422" w:firstLineChars="200"/>
        <w:rPr>
          <w:b/>
          <w:szCs w:val="21"/>
          <w:highlight w:val="none"/>
        </w:rPr>
      </w:pPr>
      <w:r>
        <w:rPr>
          <w:rFonts w:hint="eastAsia"/>
          <w:b/>
          <w:szCs w:val="21"/>
          <w:highlight w:val="none"/>
        </w:rPr>
        <w:t>七、项目负责人</w:t>
      </w:r>
    </w:p>
    <w:p>
      <w:pPr>
        <w:pStyle w:val="25"/>
        <w:spacing w:line="360" w:lineRule="auto"/>
        <w:ind w:firstLineChars="200"/>
        <w:rPr>
          <w:sz w:val="21"/>
          <w:szCs w:val="21"/>
          <w:u w:val="single"/>
        </w:rPr>
      </w:pPr>
      <w:r>
        <w:rPr>
          <w:rFonts w:hint="eastAsia"/>
          <w:sz w:val="21"/>
          <w:szCs w:val="21"/>
        </w:rPr>
        <w:t xml:space="preserve">乙方项目负责人： </w:t>
      </w:r>
      <w:r>
        <w:rPr>
          <w:rFonts w:hint="eastAsia"/>
          <w:sz w:val="21"/>
          <w:szCs w:val="21"/>
          <w:u w:val="single"/>
        </w:rPr>
        <w:t xml:space="preserve">                  </w:t>
      </w:r>
      <w:r>
        <w:rPr>
          <w:rFonts w:hint="eastAsia"/>
          <w:sz w:val="21"/>
          <w:szCs w:val="21"/>
        </w:rPr>
        <w:t xml:space="preserve"> 身份证号</w:t>
      </w:r>
      <w:r>
        <w:rPr>
          <w:rFonts w:hint="eastAsia"/>
          <w:sz w:val="21"/>
          <w:szCs w:val="21"/>
          <w:u w:val="single"/>
        </w:rPr>
        <w:t>：                   。</w:t>
      </w:r>
    </w:p>
    <w:p>
      <w:pPr>
        <w:spacing w:line="360" w:lineRule="auto"/>
        <w:ind w:firstLine="422" w:firstLineChars="200"/>
        <w:rPr>
          <w:b/>
          <w:szCs w:val="21"/>
        </w:rPr>
      </w:pPr>
      <w:r>
        <w:rPr>
          <w:rFonts w:hint="eastAsia"/>
          <w:b/>
          <w:szCs w:val="21"/>
        </w:rPr>
        <w:t>八、合同文件</w:t>
      </w:r>
    </w:p>
    <w:p>
      <w:pPr>
        <w:spacing w:line="360" w:lineRule="auto"/>
        <w:ind w:firstLine="420" w:firstLineChars="200"/>
        <w:rPr>
          <w:szCs w:val="21"/>
        </w:rPr>
      </w:pPr>
      <w:r>
        <w:rPr>
          <w:rFonts w:hint="eastAsia"/>
          <w:szCs w:val="21"/>
        </w:rPr>
        <w:t>下列文件构成本合同的组成部分：</w:t>
      </w:r>
    </w:p>
    <w:p>
      <w:pPr>
        <w:spacing w:line="360" w:lineRule="auto"/>
        <w:ind w:firstLine="420" w:firstLineChars="200"/>
        <w:rPr>
          <w:szCs w:val="21"/>
        </w:rPr>
      </w:pPr>
      <w:r>
        <w:rPr>
          <w:rFonts w:hint="eastAsia"/>
          <w:szCs w:val="21"/>
        </w:rPr>
        <w:t>投标文件、招标文件、中标通知书、成交合同、合同补充条款、补充协议或说明</w:t>
      </w:r>
    </w:p>
    <w:p>
      <w:pPr>
        <w:spacing w:line="360" w:lineRule="auto"/>
        <w:ind w:firstLine="422" w:firstLineChars="200"/>
        <w:rPr>
          <w:b/>
          <w:szCs w:val="21"/>
        </w:rPr>
      </w:pPr>
      <w:r>
        <w:rPr>
          <w:rFonts w:hint="eastAsia"/>
          <w:b/>
          <w:szCs w:val="21"/>
        </w:rPr>
        <w:t>九、签订时间</w:t>
      </w:r>
    </w:p>
    <w:p>
      <w:pPr>
        <w:pStyle w:val="25"/>
        <w:spacing w:line="360" w:lineRule="auto"/>
        <w:ind w:firstLineChars="200"/>
        <w:rPr>
          <w:sz w:val="21"/>
          <w:szCs w:val="21"/>
        </w:rPr>
      </w:pPr>
      <w:r>
        <w:rPr>
          <w:rFonts w:hint="eastAsia"/>
          <w:sz w:val="21"/>
          <w:szCs w:val="21"/>
        </w:rPr>
        <w:t>本合同于   年   月    日签订。</w:t>
      </w:r>
    </w:p>
    <w:p>
      <w:pPr>
        <w:spacing w:line="360" w:lineRule="auto"/>
        <w:ind w:firstLine="422" w:firstLineChars="200"/>
        <w:rPr>
          <w:b/>
          <w:szCs w:val="21"/>
        </w:rPr>
      </w:pPr>
      <w:r>
        <w:rPr>
          <w:rFonts w:hint="eastAsia"/>
          <w:b/>
          <w:szCs w:val="21"/>
        </w:rPr>
        <w:t>十、签订地点</w:t>
      </w:r>
    </w:p>
    <w:p>
      <w:pPr>
        <w:pStyle w:val="25"/>
        <w:spacing w:line="360" w:lineRule="auto"/>
        <w:ind w:firstLineChars="200"/>
        <w:rPr>
          <w:sz w:val="21"/>
          <w:szCs w:val="21"/>
        </w:rPr>
      </w:pPr>
      <w:r>
        <w:rPr>
          <w:rFonts w:hint="eastAsia"/>
          <w:sz w:val="21"/>
          <w:szCs w:val="21"/>
        </w:rPr>
        <w:t>本合同在</w:t>
      </w:r>
      <w:r>
        <w:rPr>
          <w:rFonts w:hint="eastAsia"/>
          <w:sz w:val="21"/>
          <w:szCs w:val="21"/>
          <w:u w:val="single"/>
        </w:rPr>
        <w:t xml:space="preserve">              </w:t>
      </w:r>
      <w:r>
        <w:rPr>
          <w:rFonts w:hint="eastAsia"/>
          <w:sz w:val="21"/>
          <w:szCs w:val="21"/>
        </w:rPr>
        <w:t>签订。</w:t>
      </w:r>
    </w:p>
    <w:p>
      <w:pPr>
        <w:spacing w:line="360" w:lineRule="auto"/>
        <w:ind w:firstLine="422" w:firstLineChars="200"/>
        <w:rPr>
          <w:b/>
          <w:szCs w:val="21"/>
        </w:rPr>
      </w:pPr>
      <w:r>
        <w:rPr>
          <w:rFonts w:hint="eastAsia"/>
          <w:b/>
          <w:szCs w:val="21"/>
        </w:rPr>
        <w:t>十一、补充地点</w:t>
      </w:r>
    </w:p>
    <w:p>
      <w:pPr>
        <w:pStyle w:val="25"/>
        <w:spacing w:line="360" w:lineRule="auto"/>
        <w:ind w:firstLineChars="200"/>
        <w:rPr>
          <w:sz w:val="21"/>
          <w:szCs w:val="21"/>
        </w:rPr>
      </w:pPr>
      <w:r>
        <w:rPr>
          <w:rFonts w:hint="eastAsia"/>
          <w:sz w:val="21"/>
          <w:szCs w:val="21"/>
        </w:rPr>
        <w:t>合同未尽事宜，合同当事人另行签订补充协议，补充协议是合同的组成部分。</w:t>
      </w:r>
    </w:p>
    <w:p>
      <w:pPr>
        <w:spacing w:line="360" w:lineRule="auto"/>
        <w:ind w:firstLine="422" w:firstLineChars="200"/>
        <w:rPr>
          <w:b/>
          <w:szCs w:val="21"/>
        </w:rPr>
      </w:pPr>
      <w:r>
        <w:rPr>
          <w:rFonts w:hint="eastAsia"/>
          <w:b/>
          <w:szCs w:val="21"/>
        </w:rPr>
        <w:t>十二、合同的生效</w:t>
      </w:r>
    </w:p>
    <w:p>
      <w:pPr>
        <w:spacing w:line="336" w:lineRule="auto"/>
        <w:ind w:firstLine="420" w:firstLineChars="200"/>
        <w:rPr>
          <w:szCs w:val="21"/>
        </w:rPr>
      </w:pPr>
      <w:r>
        <w:rPr>
          <w:rFonts w:hint="eastAsia"/>
          <w:szCs w:val="21"/>
        </w:rPr>
        <w:t>本合同在乙方向甲方提交全部履约保证金后，且经甲乙法定代表人或授权代表签字并加盖公章之日起生效。</w:t>
      </w:r>
    </w:p>
    <w:p>
      <w:pPr>
        <w:spacing w:line="336" w:lineRule="auto"/>
        <w:ind w:firstLine="420" w:firstLineChars="200"/>
        <w:rPr>
          <w:szCs w:val="21"/>
        </w:rPr>
      </w:pPr>
      <w:r>
        <w:rPr>
          <w:rFonts w:hint="eastAsia"/>
          <w:szCs w:val="21"/>
        </w:rPr>
        <w:t>合同一式壹拾贰份，</w:t>
      </w:r>
      <w:bookmarkStart w:id="83" w:name="_Hlk533420174"/>
      <w:r>
        <w:rPr>
          <w:rFonts w:hint="eastAsia"/>
          <w:szCs w:val="21"/>
        </w:rPr>
        <w:t>甲方八份，乙方四份，</w:t>
      </w:r>
      <w:bookmarkEnd w:id="83"/>
      <w:r>
        <w:rPr>
          <w:rFonts w:hint="eastAsia"/>
          <w:szCs w:val="21"/>
        </w:rPr>
        <w:t>均具有同等法律效力。</w:t>
      </w:r>
    </w:p>
    <w:p>
      <w:pPr>
        <w:spacing w:line="336" w:lineRule="auto"/>
        <w:ind w:firstLine="420" w:firstLineChars="200"/>
        <w:rPr>
          <w:szCs w:val="21"/>
        </w:rPr>
      </w:pPr>
      <w:r>
        <w:rPr>
          <w:rFonts w:hint="eastAsia"/>
          <w:szCs w:val="21"/>
        </w:rPr>
        <w:t>甲方：(盖章）                          乙方：(盖章）</w:t>
      </w:r>
    </w:p>
    <w:p>
      <w:pPr>
        <w:spacing w:line="336" w:lineRule="auto"/>
        <w:ind w:firstLine="420" w:firstLineChars="200"/>
      </w:pPr>
      <w:r>
        <w:rPr>
          <w:rFonts w:hint="eastAsia"/>
          <w:szCs w:val="21"/>
        </w:rPr>
        <w:t>法定代表人或                                    法定代表人或</w:t>
      </w:r>
    </w:p>
    <w:p>
      <w:pPr>
        <w:spacing w:line="336" w:lineRule="auto"/>
        <w:ind w:firstLine="420" w:firstLineChars="200"/>
        <w:rPr>
          <w:szCs w:val="21"/>
        </w:rPr>
      </w:pPr>
      <w:r>
        <w:rPr>
          <w:rFonts w:hint="eastAsia"/>
          <w:szCs w:val="21"/>
        </w:rPr>
        <w:t>其委托代理人：</w:t>
      </w:r>
      <w:r>
        <w:rPr>
          <w:rFonts w:hint="eastAsia"/>
          <w:szCs w:val="21"/>
          <w:u w:val="single"/>
        </w:rPr>
        <w:t xml:space="preserve">       （签字）</w:t>
      </w:r>
      <w:r>
        <w:rPr>
          <w:rFonts w:hint="eastAsia"/>
          <w:szCs w:val="21"/>
        </w:rPr>
        <w:t xml:space="preserve">                   委托代理人：</w:t>
      </w:r>
      <w:r>
        <w:rPr>
          <w:rFonts w:hint="eastAsia"/>
          <w:szCs w:val="21"/>
          <w:u w:val="single"/>
        </w:rPr>
        <w:t xml:space="preserve">        (签字) </w:t>
      </w:r>
    </w:p>
    <w:p>
      <w:pPr>
        <w:tabs>
          <w:tab w:val="left" w:pos="4500"/>
        </w:tabs>
        <w:spacing w:line="336" w:lineRule="auto"/>
        <w:ind w:firstLine="420" w:firstLineChars="200"/>
        <w:rPr>
          <w:szCs w:val="21"/>
        </w:rPr>
      </w:pPr>
      <w:r>
        <w:rPr>
          <w:rFonts w:hint="eastAsia"/>
          <w:szCs w:val="21"/>
        </w:rPr>
        <w:t>地址：                                          地址：</w:t>
      </w:r>
    </w:p>
    <w:p>
      <w:pPr>
        <w:spacing w:line="336" w:lineRule="auto"/>
        <w:ind w:firstLine="420" w:firstLineChars="200"/>
        <w:rPr>
          <w:szCs w:val="21"/>
        </w:rPr>
      </w:pPr>
      <w:r>
        <w:rPr>
          <w:rFonts w:hint="eastAsia"/>
          <w:szCs w:val="21"/>
        </w:rPr>
        <w:t>邮政编码：                                      邮政编码：</w:t>
      </w:r>
    </w:p>
    <w:p>
      <w:pPr>
        <w:spacing w:line="336" w:lineRule="auto"/>
        <w:ind w:firstLine="420" w:firstLineChars="200"/>
        <w:rPr>
          <w:szCs w:val="21"/>
        </w:rPr>
      </w:pPr>
      <w:r>
        <w:rPr>
          <w:rFonts w:hint="eastAsia"/>
          <w:szCs w:val="21"/>
        </w:rPr>
        <w:t>电    话：                                      电    话：</w:t>
      </w:r>
    </w:p>
    <w:p>
      <w:pPr>
        <w:spacing w:line="336" w:lineRule="auto"/>
        <w:ind w:firstLine="420" w:firstLineChars="200"/>
        <w:rPr>
          <w:szCs w:val="21"/>
          <w:u w:val="single"/>
        </w:rPr>
      </w:pPr>
      <w:r>
        <w:rPr>
          <w:rFonts w:hint="eastAsia"/>
          <w:szCs w:val="21"/>
        </w:rPr>
        <w:t>传    真：                                      传    真：</w:t>
      </w:r>
    </w:p>
    <w:p>
      <w:pPr>
        <w:spacing w:line="336" w:lineRule="auto"/>
        <w:ind w:firstLine="420" w:firstLineChars="200"/>
        <w:rPr>
          <w:spacing w:val="-6"/>
          <w:szCs w:val="21"/>
          <w:u w:val="single"/>
        </w:rPr>
      </w:pPr>
      <w:r>
        <w:rPr>
          <w:rFonts w:hint="eastAsia"/>
          <w:szCs w:val="21"/>
        </w:rPr>
        <w:t>开户银行：                                      开户银行：</w:t>
      </w:r>
    </w:p>
    <w:p>
      <w:pPr>
        <w:spacing w:line="336" w:lineRule="auto"/>
        <w:ind w:firstLine="420" w:firstLineChars="200"/>
        <w:rPr>
          <w:szCs w:val="21"/>
        </w:rPr>
      </w:pPr>
      <w:r>
        <w:rPr>
          <w:rFonts w:hint="eastAsia"/>
          <w:szCs w:val="21"/>
        </w:rPr>
        <w:t>银行账号：                                      银行账号：</w:t>
      </w:r>
    </w:p>
    <w:p>
      <w:pPr>
        <w:tabs>
          <w:tab w:val="left" w:pos="4500"/>
          <w:tab w:val="left" w:pos="4680"/>
        </w:tabs>
        <w:spacing w:line="360" w:lineRule="exact"/>
        <w:ind w:firstLine="420" w:firstLineChars="200"/>
        <w:jc w:val="right"/>
        <w:rPr>
          <w:rFonts w:hint="eastAsia"/>
          <w:szCs w:val="21"/>
        </w:rPr>
      </w:pPr>
    </w:p>
    <w:p>
      <w:pPr>
        <w:tabs>
          <w:tab w:val="left" w:pos="4500"/>
          <w:tab w:val="left" w:pos="4680"/>
        </w:tabs>
        <w:spacing w:line="360" w:lineRule="exact"/>
        <w:ind w:firstLine="420" w:firstLineChars="200"/>
        <w:jc w:val="right"/>
        <w:rPr>
          <w:rFonts w:hint="eastAsia"/>
          <w:szCs w:val="21"/>
        </w:rPr>
      </w:pPr>
    </w:p>
    <w:p>
      <w:pPr>
        <w:tabs>
          <w:tab w:val="left" w:pos="4500"/>
          <w:tab w:val="left" w:pos="4680"/>
        </w:tabs>
        <w:spacing w:line="360" w:lineRule="exact"/>
        <w:ind w:firstLine="420" w:firstLineChars="200"/>
        <w:jc w:val="right"/>
        <w:rPr>
          <w:rFonts w:hint="eastAsia"/>
          <w:szCs w:val="21"/>
        </w:rPr>
      </w:pPr>
    </w:p>
    <w:p>
      <w:pPr>
        <w:tabs>
          <w:tab w:val="left" w:pos="4500"/>
          <w:tab w:val="left" w:pos="4680"/>
        </w:tabs>
        <w:spacing w:line="360" w:lineRule="exact"/>
        <w:ind w:firstLine="420" w:firstLineChars="200"/>
        <w:jc w:val="right"/>
        <w:rPr>
          <w:rFonts w:hint="eastAsia"/>
          <w:szCs w:val="21"/>
        </w:rPr>
      </w:pPr>
    </w:p>
    <w:p>
      <w:pPr>
        <w:tabs>
          <w:tab w:val="left" w:pos="4500"/>
          <w:tab w:val="left" w:pos="4680"/>
        </w:tabs>
        <w:spacing w:line="360" w:lineRule="exact"/>
        <w:ind w:firstLine="420" w:firstLineChars="200"/>
        <w:jc w:val="right"/>
        <w:rPr>
          <w:szCs w:val="21"/>
        </w:rPr>
      </w:pPr>
      <w:r>
        <w:rPr>
          <w:rFonts w:hint="eastAsia"/>
          <w:szCs w:val="21"/>
        </w:rPr>
        <w:t>签订日期：   年  月  日</w:t>
      </w:r>
    </w:p>
    <w:p>
      <w:pPr>
        <w:rPr>
          <w:b/>
          <w:bCs/>
          <w:szCs w:val="21"/>
        </w:rPr>
      </w:pPr>
      <w:bookmarkStart w:id="84" w:name="_Toc4545"/>
      <w:bookmarkStart w:id="85" w:name="_Toc297017782"/>
      <w:bookmarkStart w:id="86" w:name="_Toc406074421"/>
      <w:r>
        <w:rPr>
          <w:rFonts w:hint="eastAsia"/>
          <w:b/>
          <w:bCs/>
          <w:szCs w:val="21"/>
        </w:rPr>
        <w:br w:type="page"/>
      </w:r>
    </w:p>
    <w:p>
      <w:pPr>
        <w:keepNext/>
        <w:keepLines/>
        <w:spacing w:before="360" w:beforeLines="150" w:after="120" w:afterLines="50" w:line="400" w:lineRule="exact"/>
        <w:ind w:firstLine="301"/>
        <w:jc w:val="center"/>
        <w:outlineLvl w:val="2"/>
        <w:rPr>
          <w:b/>
          <w:bCs/>
          <w:sz w:val="24"/>
          <w:szCs w:val="24"/>
        </w:rPr>
      </w:pPr>
      <w:r>
        <w:rPr>
          <w:rFonts w:hint="eastAsia"/>
          <w:b/>
          <w:bCs/>
          <w:sz w:val="24"/>
          <w:szCs w:val="24"/>
        </w:rPr>
        <w:t>二、合同一般条款</w:t>
      </w:r>
      <w:bookmarkEnd w:id="84"/>
      <w:bookmarkEnd w:id="85"/>
      <w:bookmarkEnd w:id="86"/>
    </w:p>
    <w:p>
      <w:pPr>
        <w:spacing w:line="360" w:lineRule="auto"/>
        <w:ind w:firstLine="420" w:firstLineChars="200"/>
        <w:rPr>
          <w:szCs w:val="21"/>
        </w:rPr>
      </w:pPr>
      <w:r>
        <w:rPr>
          <w:rFonts w:hint="eastAsia"/>
          <w:szCs w:val="21"/>
        </w:rPr>
        <w:t>1、合同产品的名称、技术规范和数量应与中标通知书、招标文件及被甲方接受的规格性能偏离表相一致。</w:t>
      </w:r>
    </w:p>
    <w:p>
      <w:pPr>
        <w:spacing w:line="360" w:lineRule="auto"/>
        <w:ind w:firstLine="420" w:firstLineChars="200"/>
        <w:rPr>
          <w:szCs w:val="21"/>
        </w:rPr>
      </w:pPr>
      <w:bookmarkStart w:id="87" w:name="_Toc10705"/>
      <w:bookmarkStart w:id="88" w:name="_Toc30399"/>
      <w:bookmarkStart w:id="89" w:name="_Toc28660"/>
      <w:r>
        <w:rPr>
          <w:rFonts w:hint="eastAsia"/>
          <w:szCs w:val="21"/>
        </w:rPr>
        <w:t>2、产品的质量、技术标准</w:t>
      </w:r>
      <w:bookmarkEnd w:id="87"/>
      <w:bookmarkEnd w:id="88"/>
      <w:bookmarkEnd w:id="89"/>
    </w:p>
    <w:p>
      <w:pPr>
        <w:spacing w:line="360" w:lineRule="auto"/>
        <w:ind w:firstLine="420" w:firstLineChars="200"/>
        <w:rPr>
          <w:szCs w:val="21"/>
        </w:rPr>
      </w:pPr>
      <w:r>
        <w:rPr>
          <w:rFonts w:hint="eastAsia"/>
          <w:szCs w:val="21"/>
        </w:rPr>
        <w:t>合同产品的质量、技术标准如在招投标文件中无相应说明，则按国家有关部门颁布的最新的国家或专业（部）标准执行及相应的国际标准执行。</w:t>
      </w:r>
    </w:p>
    <w:p>
      <w:pPr>
        <w:spacing w:line="360" w:lineRule="auto"/>
        <w:ind w:firstLine="420" w:firstLineChars="200"/>
        <w:rPr>
          <w:szCs w:val="21"/>
        </w:rPr>
      </w:pPr>
      <w:r>
        <w:rPr>
          <w:rFonts w:hint="eastAsia"/>
          <w:szCs w:val="21"/>
        </w:rPr>
        <w:t>3、质量保证</w:t>
      </w:r>
    </w:p>
    <w:p>
      <w:pPr>
        <w:spacing w:line="360" w:lineRule="auto"/>
        <w:ind w:firstLine="420" w:firstLineChars="200"/>
        <w:rPr>
          <w:szCs w:val="21"/>
        </w:rPr>
      </w:pPr>
      <w:r>
        <w:rPr>
          <w:rFonts w:hint="eastAsia"/>
          <w:szCs w:val="21"/>
        </w:rPr>
        <w:t>3.1乙方保证所提供的设备是全新的、未使用过的。</w:t>
      </w:r>
    </w:p>
    <w:p>
      <w:pPr>
        <w:spacing w:line="360" w:lineRule="auto"/>
        <w:ind w:firstLine="420" w:firstLineChars="200"/>
        <w:rPr>
          <w:szCs w:val="21"/>
        </w:rPr>
      </w:pPr>
      <w:r>
        <w:rPr>
          <w:rFonts w:hint="eastAsia"/>
          <w:szCs w:val="21"/>
        </w:rPr>
        <w:t>3.2乙方保证采用先进的技术、优质的材料和零部件、一流的工艺、严格的质量管理为甲方提供技术先进、质量上乘、外表美观并完全符合合同规定的质量、规格、性能要求的产品。</w:t>
      </w:r>
    </w:p>
    <w:p>
      <w:pPr>
        <w:spacing w:line="360" w:lineRule="auto"/>
        <w:ind w:firstLine="420" w:firstLineChars="200"/>
        <w:rPr>
          <w:szCs w:val="21"/>
        </w:rPr>
      </w:pPr>
      <w:r>
        <w:rPr>
          <w:rFonts w:hint="eastAsia"/>
          <w:szCs w:val="21"/>
        </w:rPr>
        <w:t>3.3乙方保证按ISO9000系列标准或相应的质量管理和质量保证体系，对所供设备的设计、采购、制造、检验、涂装、包装、安装、调试等各个环节进行严格的质量管理和质量控制。</w:t>
      </w:r>
    </w:p>
    <w:p>
      <w:pPr>
        <w:spacing w:line="360" w:lineRule="auto"/>
        <w:ind w:firstLine="420" w:firstLineChars="200"/>
        <w:rPr>
          <w:szCs w:val="21"/>
        </w:rPr>
      </w:pPr>
      <w:r>
        <w:rPr>
          <w:rFonts w:hint="eastAsia"/>
          <w:szCs w:val="21"/>
        </w:rPr>
        <w:t>3.4乙方保证所提供的设备在正确安装、正常使用和维护保养的情况下，具有使甲方满意的使用性能和使用寿命。</w:t>
      </w:r>
    </w:p>
    <w:p>
      <w:pPr>
        <w:spacing w:line="360" w:lineRule="auto"/>
        <w:ind w:firstLine="420" w:firstLineChars="200"/>
        <w:rPr>
          <w:szCs w:val="21"/>
        </w:rPr>
      </w:pPr>
      <w:bookmarkStart w:id="90" w:name="_Toc23533"/>
      <w:bookmarkStart w:id="91" w:name="_Toc24142"/>
      <w:bookmarkStart w:id="92" w:name="_Toc6332"/>
      <w:r>
        <w:rPr>
          <w:rFonts w:hint="eastAsia"/>
          <w:szCs w:val="21"/>
        </w:rPr>
        <w:t>4、质量保证期</w:t>
      </w:r>
      <w:bookmarkEnd w:id="90"/>
      <w:bookmarkEnd w:id="91"/>
      <w:bookmarkEnd w:id="92"/>
    </w:p>
    <w:p>
      <w:pPr>
        <w:pStyle w:val="10"/>
        <w:spacing w:line="360" w:lineRule="auto"/>
        <w:rPr>
          <w:rFonts w:hint="eastAsia" w:eastAsia="宋体"/>
          <w:highlight w:val="none"/>
          <w:lang w:val="en-US" w:eastAsia="zh-CN"/>
        </w:rPr>
      </w:pPr>
      <w:r>
        <w:rPr>
          <w:rFonts w:hint="eastAsia"/>
          <w:szCs w:val="21"/>
        </w:rPr>
        <w:t>产品的质量保证期为：自医院项目竣工验收合格之日起至少</w:t>
      </w:r>
      <w:r>
        <w:rPr>
          <w:rFonts w:hint="eastAsia"/>
          <w:szCs w:val="21"/>
          <w:u w:val="single"/>
        </w:rPr>
        <w:t xml:space="preserve">     </w:t>
      </w:r>
      <w:r>
        <w:rPr>
          <w:rFonts w:hint="eastAsia"/>
          <w:szCs w:val="21"/>
        </w:rPr>
        <w:t>个月。在产品质量保证期之内，乙方对由于产品设计、工艺、材料、配套件的缺陷而造成的任何产品质量问题或故障，均承担免费提供同类产品的责任。</w:t>
      </w:r>
      <w:r>
        <w:rPr>
          <w:rFonts w:hint="eastAsia"/>
          <w:highlight w:val="none"/>
          <w:lang w:val="en-US" w:eastAsia="zh-CN"/>
        </w:rPr>
        <w:t>质保期内因产品质量，安装质量等乙方原因造成的第三方损失由乙方承担。</w:t>
      </w:r>
    </w:p>
    <w:p>
      <w:pPr>
        <w:spacing w:line="360" w:lineRule="auto"/>
        <w:ind w:firstLine="420" w:firstLineChars="200"/>
        <w:rPr>
          <w:szCs w:val="21"/>
        </w:rPr>
      </w:pPr>
    </w:p>
    <w:p>
      <w:pPr>
        <w:spacing w:line="360" w:lineRule="auto"/>
        <w:ind w:firstLine="420" w:firstLineChars="200"/>
        <w:rPr>
          <w:szCs w:val="21"/>
        </w:rPr>
      </w:pPr>
      <w:bookmarkStart w:id="93" w:name="_Toc3389"/>
      <w:bookmarkStart w:id="94" w:name="_Toc1709"/>
      <w:bookmarkStart w:id="95" w:name="_Toc4104"/>
      <w:r>
        <w:rPr>
          <w:rFonts w:hint="eastAsia"/>
          <w:szCs w:val="21"/>
        </w:rPr>
        <w:t>5、合同修改</w:t>
      </w:r>
      <w:bookmarkEnd w:id="93"/>
      <w:bookmarkEnd w:id="94"/>
      <w:bookmarkEnd w:id="95"/>
    </w:p>
    <w:p>
      <w:pPr>
        <w:spacing w:line="360" w:lineRule="auto"/>
        <w:ind w:firstLine="420" w:firstLineChars="200"/>
        <w:rPr>
          <w:szCs w:val="21"/>
        </w:rPr>
      </w:pPr>
      <w:r>
        <w:rPr>
          <w:rFonts w:hint="eastAsia"/>
          <w:szCs w:val="21"/>
        </w:rPr>
        <w:t>5.1甲乙的任何一方对合同内容提出修改，均应以书面形式通知对方，并达成由双方签署的合同修改书。</w:t>
      </w:r>
    </w:p>
    <w:p>
      <w:pPr>
        <w:spacing w:line="360" w:lineRule="auto"/>
        <w:ind w:firstLine="420" w:firstLineChars="200"/>
        <w:rPr>
          <w:szCs w:val="21"/>
        </w:rPr>
      </w:pPr>
      <w:r>
        <w:rPr>
          <w:rFonts w:hint="eastAsia"/>
          <w:szCs w:val="21"/>
        </w:rPr>
        <w:t>5.2除非甲方对设备的规格和涉及价格因素的技术参数和配套件提出修改，乙方不得对合同价格提出修改要求。</w:t>
      </w:r>
    </w:p>
    <w:p>
      <w:pPr>
        <w:spacing w:line="360" w:lineRule="auto"/>
        <w:ind w:firstLine="420" w:firstLineChars="200"/>
        <w:rPr>
          <w:szCs w:val="21"/>
        </w:rPr>
      </w:pPr>
      <w:bookmarkStart w:id="96" w:name="_Toc21842"/>
      <w:bookmarkStart w:id="97" w:name="_Toc5101"/>
      <w:bookmarkStart w:id="98" w:name="_Toc2129"/>
      <w:r>
        <w:rPr>
          <w:rFonts w:hint="eastAsia"/>
          <w:szCs w:val="21"/>
        </w:rPr>
        <w:t>6、违约责任</w:t>
      </w:r>
      <w:bookmarkEnd w:id="96"/>
      <w:bookmarkEnd w:id="97"/>
      <w:bookmarkEnd w:id="98"/>
    </w:p>
    <w:p>
      <w:pPr>
        <w:spacing w:line="360" w:lineRule="auto"/>
        <w:ind w:firstLine="420" w:firstLineChars="200"/>
        <w:rPr>
          <w:szCs w:val="21"/>
        </w:rPr>
      </w:pPr>
      <w:r>
        <w:rPr>
          <w:rFonts w:hint="eastAsia"/>
          <w:szCs w:val="21"/>
        </w:rPr>
        <w:t>6.1产品质量责任</w:t>
      </w:r>
    </w:p>
    <w:p>
      <w:pPr>
        <w:spacing w:line="360" w:lineRule="auto"/>
        <w:ind w:firstLine="420" w:firstLineChars="200"/>
        <w:rPr>
          <w:szCs w:val="21"/>
        </w:rPr>
      </w:pPr>
      <w:r>
        <w:rPr>
          <w:rFonts w:hint="eastAsia"/>
          <w:szCs w:val="21"/>
        </w:rPr>
        <w:t>1）在产品质量保证期内，凡设备在开箱检验、安装过程中发现的质量问题，由乙方负责处理，实行包换、包退，直至产品符合质量要求并承担相应的违约责任，或在甲方同意的前提下，降价处理。乙方承担调换、退货发生的一切费用和甲方的直接经济损失。</w:t>
      </w:r>
    </w:p>
    <w:p>
      <w:pPr>
        <w:spacing w:line="360" w:lineRule="auto"/>
        <w:ind w:firstLine="420" w:firstLineChars="200"/>
        <w:rPr>
          <w:szCs w:val="21"/>
        </w:rPr>
      </w:pPr>
      <w:r>
        <w:rPr>
          <w:rFonts w:hint="eastAsia"/>
          <w:szCs w:val="21"/>
        </w:rPr>
        <w:t>2）乙方在接到甲方通知后，维修人员在接到故障报修电话后必须在2小时内做出响应并提出解决办法，在必须到现场维护的情况下，在接到通知4小时内赶到现场进行维修，并提供不间断的服务直到结束。</w:t>
      </w:r>
    </w:p>
    <w:p>
      <w:pPr>
        <w:spacing w:line="360" w:lineRule="auto"/>
        <w:ind w:firstLine="420" w:firstLineChars="200"/>
        <w:rPr>
          <w:szCs w:val="21"/>
        </w:rPr>
      </w:pPr>
      <w:r>
        <w:rPr>
          <w:rFonts w:hint="eastAsia"/>
          <w:szCs w:val="21"/>
        </w:rPr>
        <w:t xml:space="preserve">3）在产品质量保证期内，由于甲方保管不善或使用不当造成设备短缺、故障或损坏，由甲方负责。但乙方保证及时给予补齐或修复。   </w:t>
      </w:r>
    </w:p>
    <w:p>
      <w:pPr>
        <w:spacing w:line="360" w:lineRule="auto"/>
        <w:ind w:firstLine="420" w:firstLineChars="200"/>
        <w:rPr>
          <w:szCs w:val="21"/>
        </w:rPr>
      </w:pPr>
      <w:r>
        <w:rPr>
          <w:rFonts w:hint="eastAsia"/>
          <w:szCs w:val="21"/>
        </w:rPr>
        <w:t xml:space="preserve">6.2违约赔偿      </w:t>
      </w:r>
    </w:p>
    <w:p>
      <w:pPr>
        <w:spacing w:line="360" w:lineRule="auto"/>
        <w:ind w:firstLine="420" w:firstLineChars="200"/>
        <w:rPr>
          <w:szCs w:val="21"/>
        </w:rPr>
      </w:pPr>
      <w:r>
        <w:rPr>
          <w:rFonts w:hint="eastAsia"/>
          <w:szCs w:val="21"/>
        </w:rPr>
        <w:t>除不可抗拒力外，如乙方发生不能按期交货或提供服务；甲方发生中途退货等情况，应及时以书面形式通知对方，并按照合同专用条款承担违约或赔偿责任。</w:t>
      </w:r>
    </w:p>
    <w:p>
      <w:pPr>
        <w:spacing w:line="360" w:lineRule="auto"/>
        <w:ind w:firstLine="420" w:firstLineChars="200"/>
        <w:rPr>
          <w:szCs w:val="21"/>
        </w:rPr>
      </w:pPr>
      <w:r>
        <w:rPr>
          <w:rFonts w:hint="eastAsia"/>
          <w:szCs w:val="21"/>
        </w:rPr>
        <w:t xml:space="preserve">7、争议处理    </w:t>
      </w:r>
    </w:p>
    <w:p>
      <w:pPr>
        <w:spacing w:line="360" w:lineRule="auto"/>
        <w:ind w:firstLine="420" w:firstLineChars="200"/>
        <w:rPr>
          <w:szCs w:val="21"/>
        </w:rPr>
      </w:pPr>
      <w:r>
        <w:rPr>
          <w:rFonts w:hint="eastAsia"/>
          <w:szCs w:val="21"/>
        </w:rPr>
        <w:t>7.1凡有关本合同或执行本合同中发生的争端，双方应通过友好协商，妥善解决。如通过协商仍不能解决时，可向甲方（项目所在地）人民法院提请诉讼。</w:t>
      </w:r>
    </w:p>
    <w:p>
      <w:pPr>
        <w:spacing w:line="360" w:lineRule="auto"/>
        <w:ind w:firstLine="420" w:firstLineChars="200"/>
        <w:rPr>
          <w:szCs w:val="21"/>
        </w:rPr>
      </w:pPr>
      <w:r>
        <w:rPr>
          <w:rFonts w:hint="eastAsia"/>
          <w:szCs w:val="21"/>
        </w:rPr>
        <w:t>8、合同生效及其他</w:t>
      </w:r>
    </w:p>
    <w:p>
      <w:pPr>
        <w:spacing w:line="360" w:lineRule="auto"/>
        <w:ind w:firstLine="420" w:firstLineChars="200"/>
        <w:rPr>
          <w:szCs w:val="21"/>
        </w:rPr>
      </w:pPr>
      <w:r>
        <w:rPr>
          <w:rFonts w:hint="eastAsia"/>
          <w:szCs w:val="21"/>
        </w:rPr>
        <w:t>8.1合同应在各方签字盖章后开始生效。</w:t>
      </w:r>
    </w:p>
    <w:p>
      <w:pPr>
        <w:keepNext/>
        <w:keepLines/>
        <w:spacing w:line="360" w:lineRule="auto"/>
        <w:ind w:firstLine="301"/>
        <w:jc w:val="center"/>
        <w:rPr>
          <w:b/>
          <w:bCs/>
          <w:szCs w:val="21"/>
        </w:rPr>
      </w:pPr>
      <w:bookmarkStart w:id="99" w:name="_Toc406074422"/>
      <w:bookmarkStart w:id="100" w:name="_Toc2926"/>
      <w:bookmarkStart w:id="101" w:name="_Toc17297"/>
      <w:bookmarkStart w:id="102" w:name="_Toc297017783"/>
    </w:p>
    <w:p>
      <w:pPr>
        <w:keepNext/>
        <w:keepLines/>
        <w:spacing w:line="360" w:lineRule="auto"/>
        <w:ind w:firstLine="301"/>
        <w:jc w:val="center"/>
        <w:outlineLvl w:val="1"/>
        <w:rPr>
          <w:b/>
          <w:bCs/>
          <w:szCs w:val="21"/>
        </w:rPr>
      </w:pPr>
      <w:bookmarkStart w:id="103" w:name="_Toc6998"/>
      <w:r>
        <w:rPr>
          <w:rFonts w:hint="eastAsia"/>
          <w:b/>
          <w:bCs/>
          <w:szCs w:val="21"/>
        </w:rPr>
        <w:t>三、合同专用条款</w:t>
      </w:r>
      <w:bookmarkEnd w:id="99"/>
      <w:bookmarkEnd w:id="100"/>
      <w:bookmarkEnd w:id="101"/>
      <w:bookmarkEnd w:id="102"/>
      <w:bookmarkEnd w:id="103"/>
    </w:p>
    <w:p>
      <w:pPr>
        <w:snapToGrid w:val="0"/>
        <w:spacing w:line="360" w:lineRule="auto"/>
        <w:ind w:firstLine="420" w:firstLineChars="200"/>
        <w:rPr>
          <w:szCs w:val="21"/>
        </w:rPr>
      </w:pPr>
      <w:r>
        <w:rPr>
          <w:rFonts w:hint="eastAsia"/>
          <w:szCs w:val="21"/>
        </w:rPr>
        <w:t>本合同专用条款是对合同一般条款的补充，两者之间如有抵触，以本专用条款为准。</w:t>
      </w:r>
    </w:p>
    <w:p>
      <w:pPr>
        <w:snapToGrid w:val="0"/>
        <w:spacing w:line="360" w:lineRule="auto"/>
        <w:ind w:firstLine="420" w:firstLineChars="200"/>
        <w:rPr>
          <w:szCs w:val="21"/>
        </w:rPr>
      </w:pPr>
      <w:r>
        <w:rPr>
          <w:rFonts w:hint="eastAsia"/>
          <w:szCs w:val="21"/>
        </w:rPr>
        <w:t>1、合同总工期：</w:t>
      </w:r>
      <w:r>
        <w:rPr>
          <w:rFonts w:hint="eastAsia"/>
          <w:szCs w:val="21"/>
          <w:u w:val="single"/>
        </w:rPr>
        <w:t xml:space="preserve">     </w:t>
      </w:r>
      <w:r>
        <w:rPr>
          <w:rFonts w:hint="eastAsia"/>
          <w:szCs w:val="21"/>
        </w:rPr>
        <w:t>个月，现场供货、安装、调试、交验，以甲方（监理人）书面开工指令发出之日起开始计算工期，不得影响项目施工总进度要求；深化设计</w:t>
      </w:r>
      <w:r>
        <w:rPr>
          <w:rFonts w:hint="eastAsia"/>
          <w:szCs w:val="21"/>
          <w:u w:val="single"/>
        </w:rPr>
        <w:t>15</w:t>
      </w:r>
      <w:r>
        <w:rPr>
          <w:rFonts w:hint="eastAsia"/>
          <w:szCs w:val="21"/>
        </w:rPr>
        <w:t>日历天（以中标通知书发放日期开始计算。甲方提供的招标图纸中如遇不满足规范要求或因规范更新不满足新规范要求等情况，乙方在深化过程中有义务进行优化，并严格按照满足现行规范要求实施。深化设计图纸须经主体设计单位及监理、甲方、使用方书面审批通过后实施）。</w:t>
      </w:r>
    </w:p>
    <w:p>
      <w:pPr>
        <w:snapToGrid w:val="0"/>
        <w:spacing w:line="360" w:lineRule="auto"/>
        <w:ind w:firstLine="420" w:firstLineChars="200"/>
        <w:rPr>
          <w:szCs w:val="21"/>
        </w:rPr>
      </w:pPr>
      <w:r>
        <w:rPr>
          <w:rFonts w:hint="eastAsia"/>
          <w:szCs w:val="21"/>
        </w:rPr>
        <w:t>2、交货方式：海盐县人民医院迁建工程现场交货。乙方将设备运抵工地现场并初验合格的日期为交货日期。甲方可以要求乙方根据工程进度要求分批交货但不再额外增加其他费用。</w:t>
      </w:r>
    </w:p>
    <w:p>
      <w:pPr>
        <w:snapToGrid w:val="0"/>
        <w:spacing w:line="360" w:lineRule="auto"/>
        <w:ind w:firstLine="420" w:firstLineChars="200"/>
        <w:rPr>
          <w:szCs w:val="21"/>
        </w:rPr>
      </w:pPr>
      <w:r>
        <w:rPr>
          <w:rFonts w:hint="eastAsia"/>
          <w:szCs w:val="21"/>
        </w:rPr>
        <w:t>3、交货地点</w:t>
      </w:r>
    </w:p>
    <w:p>
      <w:pPr>
        <w:snapToGrid w:val="0"/>
        <w:spacing w:line="360" w:lineRule="auto"/>
        <w:ind w:firstLine="420" w:firstLineChars="200"/>
        <w:rPr>
          <w:szCs w:val="21"/>
        </w:rPr>
      </w:pPr>
      <w:r>
        <w:rPr>
          <w:rFonts w:hint="eastAsia"/>
          <w:szCs w:val="21"/>
        </w:rPr>
        <w:t>海盐县人民医院迁建项目现场交货，并堆放至指定仓库。</w:t>
      </w:r>
    </w:p>
    <w:p>
      <w:pPr>
        <w:snapToGrid w:val="0"/>
        <w:spacing w:line="360" w:lineRule="auto"/>
        <w:ind w:firstLine="420" w:firstLineChars="200"/>
        <w:rPr>
          <w:szCs w:val="21"/>
        </w:rPr>
      </w:pPr>
      <w:r>
        <w:rPr>
          <w:rFonts w:hint="eastAsia"/>
          <w:szCs w:val="21"/>
        </w:rPr>
        <w:t>4、接货通知</w:t>
      </w:r>
    </w:p>
    <w:p>
      <w:pPr>
        <w:snapToGrid w:val="0"/>
        <w:spacing w:line="360" w:lineRule="auto"/>
        <w:ind w:firstLine="420" w:firstLineChars="200"/>
        <w:rPr>
          <w:szCs w:val="21"/>
        </w:rPr>
      </w:pPr>
      <w:r>
        <w:rPr>
          <w:rFonts w:hint="eastAsia"/>
          <w:szCs w:val="21"/>
        </w:rPr>
        <w:t>乙方在设备发运前10日历天，需将准备发运的设备名称、规格、数量、包装箱件数、每件包装箱的尺码、毛重及对货物的卸车、贮存的特殊要求以传真的形式通知甲方，以便接货。甲方只协助乙方接货。缷货、清点、搬运、保管、安装调试、试运行等均由乙方负责，并承担相应费用。</w:t>
      </w:r>
    </w:p>
    <w:p>
      <w:pPr>
        <w:snapToGrid w:val="0"/>
        <w:spacing w:line="360" w:lineRule="auto"/>
        <w:ind w:firstLine="420" w:firstLineChars="200"/>
        <w:rPr>
          <w:szCs w:val="21"/>
        </w:rPr>
      </w:pPr>
      <w:r>
        <w:rPr>
          <w:rFonts w:hint="eastAsia"/>
          <w:szCs w:val="21"/>
        </w:rPr>
        <w:t>5、运输及装卸保险</w:t>
      </w:r>
    </w:p>
    <w:p>
      <w:pPr>
        <w:snapToGrid w:val="0"/>
        <w:spacing w:line="360" w:lineRule="auto"/>
        <w:ind w:firstLine="420" w:firstLineChars="200"/>
        <w:rPr>
          <w:szCs w:val="21"/>
        </w:rPr>
      </w:pPr>
      <w:r>
        <w:rPr>
          <w:rFonts w:hint="eastAsia"/>
          <w:szCs w:val="21"/>
        </w:rPr>
        <w:t>5.1货物在装运前由乙方投保，一旦货物在装卸、运输过程中发生损坏或短缺，由乙方负责索赔。</w:t>
      </w:r>
    </w:p>
    <w:p>
      <w:pPr>
        <w:snapToGrid w:val="0"/>
        <w:spacing w:line="360" w:lineRule="auto"/>
        <w:ind w:firstLine="420" w:firstLineChars="200"/>
        <w:rPr>
          <w:szCs w:val="21"/>
        </w:rPr>
      </w:pPr>
      <w:r>
        <w:rPr>
          <w:rFonts w:hint="eastAsia"/>
          <w:szCs w:val="21"/>
        </w:rPr>
        <w:t>5.2乙方保证在确认货物因装卸、运输中发生损坏或短缺后，尽快给予调换、修复和补齐缺件，不管其造成的原因如何，也不以办理索赔为由而拖延。</w:t>
      </w:r>
    </w:p>
    <w:p>
      <w:pPr>
        <w:snapToGrid w:val="0"/>
        <w:spacing w:line="360" w:lineRule="auto"/>
        <w:ind w:firstLine="420" w:firstLineChars="200"/>
        <w:rPr>
          <w:szCs w:val="21"/>
        </w:rPr>
      </w:pPr>
      <w:r>
        <w:rPr>
          <w:rFonts w:hint="eastAsia"/>
          <w:szCs w:val="21"/>
        </w:rPr>
        <w:t>5.3乙方工作人员及设备进场时，应遵守交货现场环境卫生管理、安全管理的有关规定，配备相应的环境保护及安全措施。承担因自身原因违反有关规定而导致的所有责任。</w:t>
      </w:r>
    </w:p>
    <w:p>
      <w:pPr>
        <w:keepNext/>
        <w:keepLines/>
        <w:numPr>
          <w:ilvl w:val="0"/>
          <w:numId w:val="16"/>
        </w:numPr>
        <w:autoSpaceDE w:val="0"/>
        <w:autoSpaceDN w:val="0"/>
        <w:adjustRightInd w:val="0"/>
        <w:snapToGrid w:val="0"/>
        <w:spacing w:line="360" w:lineRule="auto"/>
        <w:ind w:firstLine="420" w:firstLineChars="200"/>
        <w:jc w:val="left"/>
        <w:outlineLvl w:val="2"/>
        <w:rPr>
          <w:szCs w:val="21"/>
          <w:highlight w:val="none"/>
        </w:rPr>
      </w:pPr>
      <w:bookmarkStart w:id="104" w:name="_Toc21937"/>
      <w:bookmarkStart w:id="105" w:name="_Toc28893"/>
      <w:r>
        <w:rPr>
          <w:rFonts w:hint="eastAsia"/>
          <w:szCs w:val="21"/>
          <w:highlight w:val="none"/>
        </w:rPr>
        <w:t>付款方式</w:t>
      </w:r>
      <w:bookmarkEnd w:id="104"/>
      <w:bookmarkEnd w:id="105"/>
    </w:p>
    <w:p>
      <w:pPr>
        <w:snapToGrid w:val="0"/>
        <w:spacing w:line="360" w:lineRule="auto"/>
        <w:ind w:firstLine="420" w:firstLineChars="200"/>
        <w:rPr>
          <w:szCs w:val="21"/>
          <w:highlight w:val="none"/>
        </w:rPr>
      </w:pPr>
      <w:r>
        <w:rPr>
          <w:rFonts w:hint="eastAsia"/>
          <w:szCs w:val="21"/>
          <w:highlight w:val="none"/>
        </w:rPr>
        <w:t>（1）预付款</w:t>
      </w:r>
    </w:p>
    <w:p>
      <w:pPr>
        <w:snapToGrid w:val="0"/>
        <w:spacing w:line="360" w:lineRule="auto"/>
        <w:ind w:firstLine="420" w:firstLineChars="200"/>
        <w:rPr>
          <w:szCs w:val="21"/>
          <w:highlight w:val="none"/>
        </w:rPr>
      </w:pPr>
      <w:r>
        <w:rPr>
          <w:rFonts w:hint="eastAsia"/>
          <w:szCs w:val="21"/>
          <w:highlight w:val="none"/>
        </w:rPr>
        <w:t>第1次付款：合同签订并提交履约保证金及预付款担保（履约保证金为合同总价的</w:t>
      </w:r>
      <w:r>
        <w:rPr>
          <w:rFonts w:hint="eastAsia"/>
          <w:szCs w:val="21"/>
          <w:highlight w:val="none"/>
          <w:lang w:val="en-US" w:eastAsia="zh-CN"/>
        </w:rPr>
        <w:t>2</w:t>
      </w:r>
      <w:r>
        <w:rPr>
          <w:rFonts w:hint="eastAsia"/>
          <w:szCs w:val="21"/>
          <w:highlight w:val="none"/>
        </w:rPr>
        <w:t>%，预付款担保为合同总价的</w:t>
      </w:r>
      <w:r>
        <w:rPr>
          <w:rFonts w:hint="eastAsia"/>
          <w:szCs w:val="21"/>
          <w:highlight w:val="none"/>
          <w:lang w:val="en-US" w:eastAsia="zh-CN"/>
        </w:rPr>
        <w:t>20</w:t>
      </w:r>
      <w:r>
        <w:rPr>
          <w:rFonts w:hint="eastAsia"/>
          <w:szCs w:val="21"/>
          <w:highlight w:val="none"/>
        </w:rPr>
        <w:t>%，担保形式可以为银行保函、保险公司保函或融资担保公司保函）后，甲方向乙方支付合同价</w:t>
      </w:r>
      <w:r>
        <w:rPr>
          <w:rFonts w:hint="eastAsia"/>
          <w:szCs w:val="21"/>
          <w:highlight w:val="none"/>
          <w:lang w:val="en-US" w:eastAsia="zh-CN"/>
        </w:rPr>
        <w:t>20</w:t>
      </w:r>
      <w:r>
        <w:rPr>
          <w:rFonts w:hint="eastAsia"/>
          <w:szCs w:val="21"/>
          <w:highlight w:val="none"/>
        </w:rPr>
        <w:t>%的预付款，预付款支付进程不得影响合同的履行。</w:t>
      </w:r>
    </w:p>
    <w:p>
      <w:pPr>
        <w:snapToGrid w:val="0"/>
        <w:spacing w:line="360" w:lineRule="auto"/>
        <w:ind w:firstLine="420" w:firstLineChars="200"/>
        <w:rPr>
          <w:highlight w:val="none"/>
        </w:rPr>
      </w:pPr>
      <w:r>
        <w:rPr>
          <w:rFonts w:hint="eastAsia"/>
          <w:szCs w:val="21"/>
          <w:highlight w:val="none"/>
        </w:rPr>
        <w:t>（2）进度款支付</w:t>
      </w:r>
    </w:p>
    <w:p>
      <w:pPr>
        <w:snapToGrid w:val="0"/>
        <w:spacing w:line="360" w:lineRule="auto"/>
        <w:ind w:firstLine="420" w:firstLineChars="200"/>
        <w:rPr>
          <w:rFonts w:hint="default" w:eastAsiaTheme="minorEastAsia"/>
          <w:szCs w:val="21"/>
          <w:highlight w:val="none"/>
          <w:lang w:val="en-US" w:eastAsia="zh-CN"/>
        </w:rPr>
      </w:pPr>
      <w:r>
        <w:rPr>
          <w:rFonts w:hint="eastAsia"/>
          <w:szCs w:val="21"/>
          <w:highlight w:val="none"/>
        </w:rPr>
        <w:t>第2次付款：</w:t>
      </w:r>
      <w:r>
        <w:rPr>
          <w:rFonts w:hint="eastAsia"/>
          <w:szCs w:val="21"/>
          <w:highlight w:val="none"/>
          <w:lang w:eastAsia="zh-CN"/>
        </w:rPr>
        <w:t>完成至施工图工程量的</w:t>
      </w:r>
      <w:r>
        <w:rPr>
          <w:rFonts w:hint="eastAsia"/>
          <w:szCs w:val="21"/>
          <w:highlight w:val="none"/>
          <w:lang w:val="en-US" w:eastAsia="zh-CN"/>
        </w:rPr>
        <w:t>70%，付款至合同总价的50%。</w:t>
      </w:r>
    </w:p>
    <w:p>
      <w:pPr>
        <w:snapToGrid w:val="0"/>
        <w:spacing w:line="360" w:lineRule="auto"/>
        <w:ind w:firstLine="420" w:firstLineChars="200"/>
        <w:rPr>
          <w:rFonts w:hint="eastAsia" w:asciiTheme="minorHAnsi" w:hAnsiTheme="minorHAnsi" w:eastAsiaTheme="minorEastAsia" w:cstheme="minorBidi"/>
          <w:b w:val="0"/>
          <w:bCs w:val="0"/>
          <w:kern w:val="2"/>
          <w:sz w:val="21"/>
          <w:szCs w:val="21"/>
          <w:highlight w:val="cyan"/>
          <w:lang w:val="en-US" w:eastAsia="zh-CN" w:bidi="ar-SA"/>
        </w:rPr>
      </w:pPr>
      <w:r>
        <w:rPr>
          <w:rFonts w:hint="eastAsia" w:asciiTheme="minorHAnsi" w:hAnsiTheme="minorHAnsi" w:eastAsiaTheme="minorEastAsia" w:cstheme="minorBidi"/>
          <w:b w:val="0"/>
          <w:bCs w:val="0"/>
          <w:kern w:val="2"/>
          <w:sz w:val="21"/>
          <w:szCs w:val="21"/>
          <w:highlight w:val="cyan"/>
          <w:lang w:val="en-US" w:eastAsia="zh-CN" w:bidi="ar-SA"/>
        </w:rPr>
        <w:t>第</w:t>
      </w:r>
      <w:r>
        <w:rPr>
          <w:rFonts w:hint="eastAsia" w:cstheme="minorBidi"/>
          <w:b w:val="0"/>
          <w:bCs w:val="0"/>
          <w:kern w:val="2"/>
          <w:sz w:val="21"/>
          <w:szCs w:val="21"/>
          <w:highlight w:val="cyan"/>
          <w:lang w:val="en-US" w:eastAsia="zh-CN" w:bidi="ar-SA"/>
        </w:rPr>
        <w:t>3</w:t>
      </w:r>
      <w:r>
        <w:rPr>
          <w:rFonts w:hint="eastAsia" w:asciiTheme="minorHAnsi" w:hAnsiTheme="minorHAnsi" w:eastAsiaTheme="minorEastAsia" w:cstheme="minorBidi"/>
          <w:b w:val="0"/>
          <w:bCs w:val="0"/>
          <w:kern w:val="2"/>
          <w:sz w:val="21"/>
          <w:szCs w:val="21"/>
          <w:highlight w:val="cyan"/>
          <w:lang w:val="en-US" w:eastAsia="zh-CN" w:bidi="ar-SA"/>
        </w:rPr>
        <w:t>次付款：在所有设备安装、调试完成，通过验收合格并按甲方要求移交所有资料后，支付至合同总价的85%，并退还履约保证金（不计利息）。</w:t>
      </w:r>
    </w:p>
    <w:p>
      <w:pPr>
        <w:snapToGrid w:val="0"/>
        <w:spacing w:line="360" w:lineRule="auto"/>
        <w:ind w:firstLine="420" w:firstLineChars="200"/>
        <w:rPr>
          <w:szCs w:val="21"/>
          <w:highlight w:val="none"/>
        </w:rPr>
      </w:pPr>
      <w:r>
        <w:rPr>
          <w:rFonts w:hint="eastAsia"/>
          <w:szCs w:val="21"/>
          <w:highlight w:val="none"/>
        </w:rPr>
        <w:t>第</w:t>
      </w:r>
      <w:r>
        <w:rPr>
          <w:rFonts w:hint="eastAsia"/>
          <w:szCs w:val="21"/>
          <w:highlight w:val="none"/>
          <w:lang w:val="en-US" w:eastAsia="zh-CN"/>
        </w:rPr>
        <w:t>4</w:t>
      </w:r>
      <w:r>
        <w:rPr>
          <w:rFonts w:hint="eastAsia"/>
          <w:szCs w:val="21"/>
          <w:highlight w:val="none"/>
        </w:rPr>
        <w:t>次付款：医院投入运营调试合格后，支付至合同总价（审计结算价）的9</w:t>
      </w:r>
      <w:r>
        <w:rPr>
          <w:rFonts w:hint="eastAsia"/>
          <w:szCs w:val="21"/>
          <w:highlight w:val="none"/>
          <w:lang w:val="en-US" w:eastAsia="zh-CN"/>
        </w:rPr>
        <w:t>8</w:t>
      </w:r>
      <w:r>
        <w:rPr>
          <w:rFonts w:hint="eastAsia"/>
          <w:szCs w:val="21"/>
          <w:highlight w:val="none"/>
        </w:rPr>
        <w:t>.5%。</w:t>
      </w:r>
    </w:p>
    <w:p>
      <w:pPr>
        <w:snapToGrid w:val="0"/>
        <w:spacing w:line="360" w:lineRule="auto"/>
        <w:ind w:firstLine="420" w:firstLineChars="200"/>
        <w:rPr>
          <w:szCs w:val="21"/>
          <w:highlight w:val="none"/>
        </w:rPr>
      </w:pPr>
      <w:r>
        <w:rPr>
          <w:rFonts w:hint="eastAsia"/>
          <w:szCs w:val="21"/>
          <w:highlight w:val="none"/>
        </w:rPr>
        <w:t>第</w:t>
      </w:r>
      <w:r>
        <w:rPr>
          <w:rFonts w:hint="eastAsia"/>
          <w:szCs w:val="21"/>
          <w:highlight w:val="none"/>
          <w:lang w:val="en-US" w:eastAsia="zh-CN"/>
        </w:rPr>
        <w:t>5</w:t>
      </w:r>
      <w:r>
        <w:rPr>
          <w:rFonts w:hint="eastAsia"/>
          <w:szCs w:val="21"/>
          <w:highlight w:val="none"/>
        </w:rPr>
        <w:t>次付款：余款</w:t>
      </w:r>
      <w:r>
        <w:rPr>
          <w:rFonts w:hint="eastAsia"/>
          <w:szCs w:val="21"/>
          <w:highlight w:val="none"/>
          <w:lang w:val="en-US" w:eastAsia="zh-CN"/>
        </w:rPr>
        <w:t>1</w:t>
      </w:r>
      <w:r>
        <w:rPr>
          <w:rFonts w:hint="eastAsia"/>
          <w:szCs w:val="21"/>
          <w:highlight w:val="none"/>
        </w:rPr>
        <w:t>.5%（不计利息）作为质量保证金；若合同约定质保期为24个月的，质保期满且无质量问题经甲方确认后一次性次性退还质量保证金；若合同约定质保期超过24个月的，质保期满24个月后退还合同价（审计结算价）的1%（质量保证金），质保期满且无质量问题经甲方确认后一次性退还剩余质量保证金。</w:t>
      </w:r>
    </w:p>
    <w:p>
      <w:pPr>
        <w:snapToGrid w:val="0"/>
        <w:spacing w:line="360" w:lineRule="auto"/>
        <w:ind w:firstLine="420" w:firstLineChars="200"/>
        <w:rPr>
          <w:szCs w:val="21"/>
          <w:highlight w:val="none"/>
        </w:rPr>
      </w:pPr>
      <w:r>
        <w:rPr>
          <w:rFonts w:hint="eastAsia"/>
          <w:szCs w:val="21"/>
          <w:highlight w:val="none"/>
        </w:rPr>
        <w:t>注：①每笔款项支付前，乙方必须提供收款单位与本合同签订单位一致的正规、等额、合法、有效的增值税专用发票及验收单、入库单等办理相关支付手续的报审资料；②货款的支付需经监理方总监理工程师及甲方代表签字及盖章，并审核同意后15个工作日内支付。若乙方延期提供的，甲方有权顺延付款。</w:t>
      </w:r>
    </w:p>
    <w:p>
      <w:pPr>
        <w:snapToGrid w:val="0"/>
        <w:spacing w:line="360" w:lineRule="auto"/>
        <w:ind w:firstLine="420" w:firstLineChars="200"/>
        <w:rPr>
          <w:szCs w:val="21"/>
          <w:highlight w:val="none"/>
        </w:rPr>
      </w:pPr>
      <w:r>
        <w:rPr>
          <w:rFonts w:hint="eastAsia"/>
          <w:szCs w:val="21"/>
          <w:highlight w:val="none"/>
        </w:rPr>
        <w:t>乙方应及时、足额支付民工工资，因乙方未能及时、足额支付民工工资导致民工怠工、停工、集体上访的，由乙方承担全部责任，造成损失的由乙方承担全部费用；甲方有权代为支付，在乙方当期工程款中予以追偿。</w:t>
      </w:r>
    </w:p>
    <w:p>
      <w:pPr>
        <w:pageBreakBefore w:val="0"/>
        <w:numPr>
          <w:ilvl w:val="0"/>
          <w:numId w:val="16"/>
        </w:numPr>
        <w:kinsoku/>
        <w:wordWrap/>
        <w:overflowPunct/>
        <w:topLinePunct w:val="0"/>
        <w:autoSpaceDE w:val="0"/>
        <w:autoSpaceDN w:val="0"/>
        <w:bidi w:val="0"/>
        <w:spacing w:line="360" w:lineRule="auto"/>
        <w:ind w:left="0" w:leftChars="0" w:firstLine="420" w:firstLineChars="200"/>
        <w:rPr>
          <w:rFonts w:hint="eastAsia"/>
          <w:sz w:val="21"/>
          <w:szCs w:val="21"/>
          <w:highlight w:val="none"/>
        </w:rPr>
      </w:pPr>
      <w:r>
        <w:rPr>
          <w:rFonts w:hint="eastAsia" w:ascii="宋体" w:hAnsi="宋体" w:eastAsia="宋体" w:cs="宋体"/>
          <w:color w:val="000000"/>
          <w:sz w:val="21"/>
          <w:szCs w:val="21"/>
          <w:highlight w:val="none"/>
        </w:rPr>
        <w:t>结算原则</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default"/>
          <w:sz w:val="21"/>
          <w:szCs w:val="21"/>
          <w:highlight w:val="none"/>
          <w:lang w:val="en-US"/>
        </w:rPr>
      </w:pPr>
      <w:r>
        <w:rPr>
          <w:rFonts w:hint="eastAsia" w:cs="宋体"/>
          <w:bCs w:val="0"/>
          <w:color w:val="000000"/>
          <w:sz w:val="21"/>
          <w:szCs w:val="21"/>
          <w:highlight w:val="none"/>
          <w:lang w:val="en-US" w:eastAsia="zh-CN" w:bidi="ar-SA"/>
        </w:rPr>
        <w:t>7.1本项目</w:t>
      </w:r>
      <w:r>
        <w:rPr>
          <w:rFonts w:hint="eastAsia" w:ascii="宋体" w:hAnsi="宋体" w:eastAsia="宋体" w:cs="宋体"/>
          <w:bCs w:val="0"/>
          <w:color w:val="000000"/>
          <w:sz w:val="21"/>
          <w:szCs w:val="21"/>
          <w:highlight w:val="none"/>
          <w:lang w:val="en-US" w:eastAsia="zh-CN" w:bidi="ar-SA"/>
        </w:rPr>
        <w:t>中标总价（不包括不可预见费）一次性包死，不再调整</w:t>
      </w:r>
      <w:r>
        <w:rPr>
          <w:rFonts w:hint="eastAsia" w:cs="宋体"/>
          <w:bCs w:val="0"/>
          <w:color w:val="000000"/>
          <w:sz w:val="21"/>
          <w:szCs w:val="21"/>
          <w:highlight w:val="none"/>
          <w:lang w:val="en-US" w:eastAsia="zh-CN" w:bidi="ar-SA"/>
        </w:rPr>
        <w:t>；乙方的合同总价款的风险范围：</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cs="宋体"/>
          <w:color w:val="000000"/>
          <w:sz w:val="21"/>
          <w:szCs w:val="21"/>
          <w:highlight w:val="none"/>
          <w:lang w:val="en-US" w:eastAsia="zh-CN" w:bidi="ar-SA"/>
        </w:rPr>
        <w:t>（1）</w:t>
      </w:r>
      <w:r>
        <w:rPr>
          <w:rFonts w:hint="eastAsia" w:ascii="宋体" w:hAnsi="宋体" w:eastAsia="宋体" w:cs="宋体"/>
          <w:color w:val="000000"/>
          <w:sz w:val="21"/>
          <w:szCs w:val="21"/>
          <w:highlight w:val="none"/>
          <w:lang w:val="en-US" w:eastAsia="zh-CN" w:bidi="ar-SA"/>
        </w:rPr>
        <w:t xml:space="preserve">供应商承担工、料、机在投标报价编制期与货物合同实施期间所发生的市场价格波动。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cs="宋体"/>
          <w:color w:val="000000"/>
          <w:sz w:val="21"/>
          <w:szCs w:val="21"/>
          <w:highlight w:val="none"/>
          <w:lang w:val="en-US" w:eastAsia="zh-CN" w:bidi="ar-SA"/>
        </w:rPr>
        <w:t>（2）</w:t>
      </w:r>
      <w:r>
        <w:rPr>
          <w:rFonts w:hint="eastAsia" w:ascii="宋体" w:hAnsi="宋体" w:eastAsia="宋体" w:cs="宋体"/>
          <w:color w:val="000000"/>
          <w:sz w:val="21"/>
          <w:szCs w:val="21"/>
          <w:highlight w:val="none"/>
          <w:lang w:val="en-US" w:eastAsia="zh-CN" w:bidi="ar-SA"/>
        </w:rPr>
        <w:t>其他：</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①合同履行期间物价变动，</w:t>
      </w:r>
      <w:r>
        <w:rPr>
          <w:rFonts w:hint="eastAsia" w:cs="宋体"/>
          <w:color w:val="000000"/>
          <w:sz w:val="21"/>
          <w:szCs w:val="21"/>
          <w:highlight w:val="none"/>
          <w:lang w:val="en-US" w:eastAsia="zh-CN" w:bidi="ar-SA"/>
        </w:rPr>
        <w:t>技术</w:t>
      </w:r>
      <w:r>
        <w:rPr>
          <w:rFonts w:hint="eastAsia" w:ascii="宋体" w:hAnsi="宋体" w:eastAsia="宋体" w:cs="宋体"/>
          <w:color w:val="000000"/>
          <w:sz w:val="21"/>
          <w:szCs w:val="21"/>
          <w:highlight w:val="none"/>
          <w:lang w:val="en-US" w:eastAsia="zh-CN" w:bidi="ar-SA"/>
        </w:rPr>
        <w:t xml:space="preserve">标准及相关政策规范（非强制性文件）调整；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②</w:t>
      </w:r>
      <w:r>
        <w:rPr>
          <w:rFonts w:hint="eastAsia" w:cs="宋体"/>
          <w:color w:val="000000"/>
          <w:sz w:val="21"/>
          <w:szCs w:val="21"/>
          <w:highlight w:val="none"/>
          <w:lang w:val="en-US" w:eastAsia="zh-CN" w:bidi="ar-SA"/>
        </w:rPr>
        <w:t>报价</w:t>
      </w:r>
      <w:r>
        <w:rPr>
          <w:rFonts w:hint="eastAsia" w:ascii="宋体" w:hAnsi="宋体" w:eastAsia="宋体" w:cs="宋体"/>
          <w:color w:val="000000"/>
          <w:sz w:val="21"/>
          <w:szCs w:val="21"/>
          <w:highlight w:val="none"/>
          <w:lang w:val="en-US" w:eastAsia="zh-CN" w:bidi="ar-SA"/>
        </w:rPr>
        <w:t>明细表中按图集或技术规范要求的费用应包括在</w:t>
      </w:r>
      <w:r>
        <w:rPr>
          <w:rFonts w:hint="eastAsia" w:cs="宋体"/>
          <w:color w:val="000000"/>
          <w:sz w:val="21"/>
          <w:szCs w:val="21"/>
          <w:highlight w:val="none"/>
          <w:lang w:val="en-US" w:eastAsia="zh-CN" w:bidi="ar-SA"/>
        </w:rPr>
        <w:t>合同总价</w:t>
      </w:r>
      <w:r>
        <w:rPr>
          <w:rFonts w:hint="eastAsia" w:ascii="宋体" w:hAnsi="宋体" w:eastAsia="宋体" w:cs="宋体"/>
          <w:color w:val="000000"/>
          <w:sz w:val="21"/>
          <w:szCs w:val="21"/>
          <w:highlight w:val="none"/>
          <w:lang w:val="en-US" w:eastAsia="zh-CN" w:bidi="ar-SA"/>
        </w:rPr>
        <w:t>中；</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③所有招标文件或</w:t>
      </w:r>
      <w:r>
        <w:rPr>
          <w:rFonts w:hint="eastAsia" w:cs="宋体"/>
          <w:color w:val="000000"/>
          <w:sz w:val="21"/>
          <w:szCs w:val="21"/>
          <w:highlight w:val="none"/>
          <w:lang w:val="en-US" w:eastAsia="zh-CN" w:bidi="ar-SA"/>
        </w:rPr>
        <w:t>报价</w:t>
      </w:r>
      <w:r>
        <w:rPr>
          <w:rFonts w:hint="eastAsia" w:ascii="宋体" w:hAnsi="宋体" w:eastAsia="宋体" w:cs="宋体"/>
          <w:color w:val="000000"/>
          <w:sz w:val="21"/>
          <w:szCs w:val="21"/>
          <w:highlight w:val="none"/>
          <w:lang w:val="en-US" w:eastAsia="zh-CN" w:bidi="ar-SA"/>
        </w:rPr>
        <w:t>明细表已明示要求报价的内容而供应商未予报价的，将被认为包含在合同总价中，结算时合同价款将不予调整。</w:t>
      </w:r>
      <w:r>
        <w:rPr>
          <w:rFonts w:hint="eastAsia" w:cs="宋体"/>
          <w:color w:val="000000"/>
          <w:sz w:val="21"/>
          <w:szCs w:val="21"/>
          <w:highlight w:val="none"/>
          <w:lang w:val="en-US" w:eastAsia="zh-CN" w:bidi="ar-SA"/>
        </w:rPr>
        <w:t>报价</w:t>
      </w:r>
      <w:r>
        <w:rPr>
          <w:rFonts w:hint="eastAsia" w:ascii="宋体" w:hAnsi="宋体" w:eastAsia="宋体" w:cs="宋体"/>
          <w:color w:val="000000"/>
          <w:sz w:val="21"/>
          <w:szCs w:val="21"/>
          <w:highlight w:val="none"/>
          <w:lang w:val="en-US" w:eastAsia="zh-CN" w:bidi="ar-SA"/>
        </w:rPr>
        <w:t>明细表未描述到，但又是完成</w:t>
      </w:r>
      <w:r>
        <w:rPr>
          <w:rFonts w:hint="eastAsia" w:cs="宋体"/>
          <w:color w:val="000000"/>
          <w:sz w:val="21"/>
          <w:szCs w:val="21"/>
          <w:highlight w:val="none"/>
          <w:lang w:val="en-US" w:eastAsia="zh-CN" w:bidi="ar-SA"/>
        </w:rPr>
        <w:t>项目</w:t>
      </w:r>
      <w:r>
        <w:rPr>
          <w:rFonts w:hint="eastAsia" w:ascii="宋体" w:hAnsi="宋体" w:eastAsia="宋体" w:cs="宋体"/>
          <w:color w:val="000000"/>
          <w:sz w:val="21"/>
          <w:szCs w:val="21"/>
          <w:highlight w:val="none"/>
          <w:lang w:val="en-US" w:eastAsia="zh-CN" w:bidi="ar-SA"/>
        </w:rPr>
        <w:t>必须有的工作内容或规范要求的工作内容，均应包括在总价内；</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④</w:t>
      </w:r>
      <w:r>
        <w:rPr>
          <w:rFonts w:hint="eastAsia" w:cs="宋体"/>
          <w:color w:val="000000"/>
          <w:sz w:val="21"/>
          <w:szCs w:val="21"/>
          <w:highlight w:val="none"/>
          <w:lang w:val="en-US" w:eastAsia="zh-CN" w:bidi="ar-SA"/>
        </w:rPr>
        <w:t>乙方</w:t>
      </w:r>
      <w:r>
        <w:rPr>
          <w:rFonts w:hint="eastAsia" w:ascii="宋体" w:hAnsi="宋体" w:eastAsia="宋体" w:cs="宋体"/>
          <w:color w:val="000000"/>
          <w:sz w:val="21"/>
          <w:szCs w:val="21"/>
          <w:highlight w:val="none"/>
          <w:lang w:val="en-US" w:eastAsia="zh-CN" w:bidi="ar-SA"/>
        </w:rPr>
        <w:t>对工程现场环境以及</w:t>
      </w:r>
      <w:r>
        <w:rPr>
          <w:rFonts w:hint="eastAsia" w:cs="宋体"/>
          <w:color w:val="000000"/>
          <w:sz w:val="21"/>
          <w:szCs w:val="21"/>
          <w:highlight w:val="none"/>
          <w:lang w:val="en-US" w:eastAsia="zh-CN" w:bidi="ar-SA"/>
        </w:rPr>
        <w:t>甲方</w:t>
      </w:r>
      <w:r>
        <w:rPr>
          <w:rFonts w:hint="eastAsia" w:ascii="宋体" w:hAnsi="宋体" w:eastAsia="宋体" w:cs="宋体"/>
          <w:color w:val="000000"/>
          <w:sz w:val="21"/>
          <w:szCs w:val="21"/>
          <w:highlight w:val="none"/>
          <w:lang w:val="en-US" w:eastAsia="zh-CN" w:bidi="ar-SA"/>
        </w:rPr>
        <w:t>提供的招标文件、图纸等资料作出错误的推论、理解而导致报价失误，属于</w:t>
      </w:r>
      <w:r>
        <w:rPr>
          <w:rFonts w:hint="eastAsia" w:cs="宋体"/>
          <w:color w:val="000000"/>
          <w:sz w:val="21"/>
          <w:szCs w:val="21"/>
          <w:highlight w:val="none"/>
          <w:lang w:val="en-US" w:eastAsia="zh-CN" w:bidi="ar-SA"/>
        </w:rPr>
        <w:t>乙方</w:t>
      </w:r>
      <w:r>
        <w:rPr>
          <w:rFonts w:hint="eastAsia" w:ascii="宋体" w:hAnsi="宋体" w:eastAsia="宋体" w:cs="宋体"/>
          <w:color w:val="000000"/>
          <w:sz w:val="21"/>
          <w:szCs w:val="21"/>
          <w:highlight w:val="none"/>
          <w:lang w:val="en-US" w:eastAsia="zh-CN" w:bidi="ar-SA"/>
        </w:rPr>
        <w:t xml:space="preserve">风险，结算时合同价款将不予调整；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⑤可能发生的措施费用无论</w:t>
      </w:r>
      <w:r>
        <w:rPr>
          <w:rFonts w:hint="eastAsia" w:cs="宋体"/>
          <w:color w:val="000000"/>
          <w:sz w:val="21"/>
          <w:szCs w:val="21"/>
          <w:highlight w:val="none"/>
          <w:lang w:val="en-US" w:eastAsia="zh-CN" w:bidi="ar-SA"/>
        </w:rPr>
        <w:t>项目</w:t>
      </w:r>
      <w:r>
        <w:rPr>
          <w:rFonts w:hint="eastAsia" w:ascii="宋体" w:hAnsi="宋体" w:eastAsia="宋体" w:cs="宋体"/>
          <w:color w:val="000000"/>
          <w:sz w:val="21"/>
          <w:szCs w:val="21"/>
          <w:highlight w:val="none"/>
          <w:lang w:val="en-US" w:eastAsia="zh-CN" w:bidi="ar-SA"/>
        </w:rPr>
        <w:t>是否变更、发包人提供的</w:t>
      </w:r>
      <w:r>
        <w:rPr>
          <w:rFonts w:hint="eastAsia" w:cs="宋体"/>
          <w:color w:val="000000"/>
          <w:sz w:val="21"/>
          <w:szCs w:val="21"/>
          <w:highlight w:val="none"/>
          <w:lang w:val="en-US" w:eastAsia="zh-CN" w:bidi="ar-SA"/>
        </w:rPr>
        <w:t>报价</w:t>
      </w:r>
      <w:r>
        <w:rPr>
          <w:rFonts w:hint="eastAsia" w:ascii="宋体" w:hAnsi="宋体" w:eastAsia="宋体" w:cs="宋体"/>
          <w:color w:val="000000"/>
          <w:sz w:val="21"/>
          <w:szCs w:val="21"/>
          <w:highlight w:val="none"/>
          <w:lang w:val="en-US" w:eastAsia="zh-CN" w:bidi="ar-SA"/>
        </w:rPr>
        <w:t xml:space="preserve">明细表是否偏差，结算均不予调整，实行包干价；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⑥</w:t>
      </w:r>
      <w:r>
        <w:rPr>
          <w:rFonts w:hint="eastAsia" w:cs="宋体"/>
          <w:color w:val="000000"/>
          <w:sz w:val="21"/>
          <w:szCs w:val="21"/>
          <w:highlight w:val="none"/>
          <w:lang w:val="en-US" w:eastAsia="zh-CN" w:bidi="ar-SA"/>
        </w:rPr>
        <w:t>乙方</w:t>
      </w:r>
      <w:r>
        <w:rPr>
          <w:rFonts w:hint="eastAsia" w:ascii="宋体" w:hAnsi="宋体" w:eastAsia="宋体" w:cs="宋体"/>
          <w:color w:val="000000"/>
          <w:sz w:val="21"/>
          <w:szCs w:val="21"/>
          <w:highlight w:val="none"/>
          <w:lang w:val="en-US" w:eastAsia="zh-CN" w:bidi="ar-SA"/>
        </w:rPr>
        <w:t>应充分考虑总包及其他专业分包之间配合要求工作面交替施工引起的窝工情况，上述情况在工程结算时不作调整；</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 xml:space="preserve">⑧停水、停电引起的工期延误或自备水电造成的费用增加； </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t>⑨过程中可能存在的作为一个有经验的供应商应预见的其他风险均包含在风险范围内。</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2" w:firstLineChars="200"/>
        <w:textAlignment w:val="auto"/>
        <w:rPr>
          <w:rFonts w:hint="eastAsia"/>
          <w:sz w:val="21"/>
          <w:szCs w:val="21"/>
          <w:highlight w:val="none"/>
        </w:rPr>
      </w:pPr>
      <w:r>
        <w:rPr>
          <w:rFonts w:hint="eastAsia" w:ascii="宋体" w:hAnsi="宋体" w:eastAsia="宋体" w:cs="宋体"/>
          <w:b/>
          <w:bCs/>
          <w:color w:val="000000"/>
          <w:sz w:val="21"/>
          <w:szCs w:val="21"/>
          <w:highlight w:val="none"/>
          <w:lang w:val="en-US" w:eastAsia="zh-CN" w:bidi="ar-SA"/>
        </w:rPr>
        <w:t>风险费用的计算方法：</w:t>
      </w:r>
      <w:r>
        <w:rPr>
          <w:rFonts w:hint="eastAsia" w:ascii="宋体" w:hAnsi="宋体" w:eastAsia="宋体" w:cs="宋体"/>
          <w:color w:val="000000"/>
          <w:sz w:val="21"/>
          <w:szCs w:val="21"/>
          <w:highlight w:val="none"/>
          <w:u w:val="single"/>
          <w:lang w:val="en-US" w:eastAsia="zh-CN" w:bidi="ar-SA"/>
        </w:rPr>
        <w:t>以上风险费用已包含在签约合同价款中，不再另行计取。</w:t>
      </w:r>
    </w:p>
    <w:p>
      <w:pPr>
        <w:pStyle w:val="66"/>
        <w:pageBreakBefore w:val="0"/>
        <w:kinsoku/>
        <w:wordWrap/>
        <w:overflowPunct/>
        <w:topLinePunct w:val="0"/>
        <w:autoSpaceDE w:val="0"/>
        <w:autoSpaceDN w:val="0"/>
        <w:bidi w:val="0"/>
        <w:spacing w:line="360" w:lineRule="auto"/>
        <w:ind w:firstLine="420"/>
        <w:rPr>
          <w:rFonts w:hint="eastAsia" w:ascii="宋体" w:hAnsi="宋体" w:eastAsia="宋体" w:cs="宋体"/>
          <w:bCs w:val="0"/>
          <w:color w:val="000000"/>
          <w:sz w:val="21"/>
          <w:szCs w:val="21"/>
          <w:highlight w:val="none"/>
        </w:rPr>
      </w:pPr>
      <w:r>
        <w:rPr>
          <w:rFonts w:hint="eastAsia" w:ascii="宋体" w:eastAsia="宋体" w:cs="宋体"/>
          <w:bCs w:val="0"/>
          <w:color w:val="000000"/>
          <w:sz w:val="21"/>
          <w:szCs w:val="21"/>
          <w:highlight w:val="none"/>
          <w:lang w:val="en-US" w:eastAsia="zh-CN" w:bidi="ar-SA"/>
        </w:rPr>
        <w:t>7.2</w:t>
      </w:r>
      <w:r>
        <w:rPr>
          <w:rFonts w:hint="eastAsia" w:ascii="宋体" w:hAnsi="宋体" w:eastAsia="宋体" w:cs="宋体"/>
          <w:bCs w:val="0"/>
          <w:color w:val="000000"/>
          <w:sz w:val="21"/>
          <w:szCs w:val="21"/>
          <w:highlight w:val="none"/>
          <w:lang w:val="en-US" w:eastAsia="zh-CN" w:bidi="ar-SA"/>
        </w:rPr>
        <w:t>甲方有权增减工作范围，该费用应予以增减，在结算时单价按以下口径确定</w:t>
      </w:r>
      <w:r>
        <w:rPr>
          <w:rFonts w:hint="eastAsia" w:ascii="宋体" w:hAnsi="宋体" w:eastAsia="宋体" w:cs="宋体"/>
          <w:bCs w:val="0"/>
          <w:color w:val="000000"/>
          <w:sz w:val="21"/>
          <w:szCs w:val="21"/>
          <w:highlight w:val="none"/>
        </w:rPr>
        <w:t>：</w:t>
      </w:r>
    </w:p>
    <w:p>
      <w:pPr>
        <w:pageBreakBefore w:val="0"/>
        <w:numPr>
          <w:ilvl w:val="0"/>
          <w:numId w:val="17"/>
        </w:numPr>
        <w:kinsoku/>
        <w:wordWrap/>
        <w:overflowPunct/>
        <w:topLinePunct w:val="0"/>
        <w:autoSpaceDE w:val="0"/>
        <w:autoSpaceDN w:val="0"/>
        <w:bidi w:val="0"/>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bCs w:val="0"/>
          <w:color w:val="000000"/>
          <w:sz w:val="21"/>
          <w:szCs w:val="21"/>
          <w:highlight w:val="none"/>
          <w:lang w:val="en-US" w:eastAsia="zh-CN" w:bidi="ar-SA"/>
        </w:rPr>
        <w:t>合同中有类似项目单价的，可以参照合同中类似项目的单价计算确定</w:t>
      </w:r>
      <w:r>
        <w:rPr>
          <w:rFonts w:hint="eastAsia" w:ascii="宋体" w:hAnsi="宋体" w:eastAsia="宋体" w:cs="宋体"/>
          <w:color w:val="000000"/>
          <w:sz w:val="21"/>
          <w:szCs w:val="21"/>
          <w:highlight w:val="none"/>
        </w:rPr>
        <w:t>；</w:t>
      </w:r>
    </w:p>
    <w:p>
      <w:pPr>
        <w:pageBreakBefore w:val="0"/>
        <w:numPr>
          <w:ilvl w:val="0"/>
          <w:numId w:val="17"/>
        </w:numPr>
        <w:kinsoku/>
        <w:wordWrap/>
        <w:overflowPunct/>
        <w:topLinePunct w:val="0"/>
        <w:autoSpaceDE w:val="0"/>
        <w:autoSpaceDN w:val="0"/>
        <w:bidi w:val="0"/>
        <w:spacing w:line="360" w:lineRule="auto"/>
        <w:ind w:firstLine="420" w:firstLineChars="200"/>
        <w:rPr>
          <w:rFonts w:hint="eastAsia" w:ascii="宋体" w:hAnsi="宋体" w:eastAsia="宋体" w:cs="宋体"/>
          <w:bCs w:val="0"/>
          <w:color w:val="000000"/>
          <w:sz w:val="21"/>
          <w:szCs w:val="21"/>
          <w:highlight w:val="none"/>
          <w:lang w:val="en-US" w:eastAsia="zh-CN" w:bidi="ar-SA"/>
        </w:rPr>
      </w:pPr>
      <w:r>
        <w:rPr>
          <w:rFonts w:hint="eastAsia" w:ascii="宋体" w:hAnsi="宋体" w:eastAsia="宋体" w:cs="宋体"/>
          <w:bCs w:val="0"/>
          <w:color w:val="000000"/>
          <w:sz w:val="21"/>
          <w:szCs w:val="21"/>
          <w:highlight w:val="none"/>
          <w:lang w:val="en-US" w:eastAsia="zh-CN" w:bidi="ar-SA"/>
        </w:rPr>
        <w:t>合同中没有类似项目单价的，由甲方签证后按照中标下浮率及优惠条件同比例计算变更费用。凡此设计变更，乙方在完成每份设计变更联系和现场签证单工程内容后14天内向监理提交正式工程变更费用结算书。注：中标下浮率=（最高投标限价-中标价）/最高投标限价×100%。</w:t>
      </w:r>
    </w:p>
    <w:p>
      <w:pPr>
        <w:keepNext w:val="0"/>
        <w:keepLines w:val="0"/>
        <w:pageBreakBefore w:val="0"/>
        <w:widowControl w:val="0"/>
        <w:kinsoku/>
        <w:wordWrap/>
        <w:overflowPunct/>
        <w:topLinePunct w:val="0"/>
        <w:autoSpaceDE w:val="0"/>
        <w:autoSpaceDN w:val="0"/>
        <w:bidi w:val="0"/>
        <w:adjustRightInd/>
        <w:snapToGrid w:val="0"/>
        <w:spacing w:line="360" w:lineRule="auto"/>
        <w:ind w:firstLine="420" w:firstLineChars="200"/>
        <w:textAlignment w:val="auto"/>
        <w:rPr>
          <w:rFonts w:hint="eastAsia" w:ascii="宋体" w:hAnsi="宋体" w:eastAsia="宋体" w:cs="宋体"/>
          <w:bCs w:val="0"/>
          <w:color w:val="000000" w:themeColor="text1"/>
          <w:sz w:val="21"/>
          <w:szCs w:val="21"/>
          <w:highlight w:val="none"/>
          <w:lang w:val="en-US" w:eastAsia="zh-CN"/>
          <w14:textFill>
            <w14:solidFill>
              <w14:schemeClr w14:val="tx1"/>
            </w14:solidFill>
          </w14:textFill>
        </w:rPr>
      </w:pPr>
      <w:r>
        <w:rPr>
          <w:rStyle w:val="40"/>
          <w:rFonts w:hint="eastAsia" w:ascii="宋体" w:hAnsi="宋体" w:eastAsia="宋体" w:cs="宋体"/>
          <w:color w:val="000000"/>
          <w:sz w:val="21"/>
          <w:szCs w:val="21"/>
          <w:highlight w:val="none"/>
        </w:rPr>
        <w:t>注：</w:t>
      </w:r>
      <w:r>
        <w:rPr>
          <w:rFonts w:hint="eastAsia" w:ascii="宋体" w:hAnsi="宋体" w:eastAsia="宋体" w:cs="宋体"/>
          <w:bCs w:val="0"/>
          <w:color w:val="000000"/>
          <w:sz w:val="21"/>
          <w:szCs w:val="21"/>
          <w:highlight w:val="none"/>
          <w:lang w:val="en-US" w:eastAsia="zh-CN" w:bidi="ar-SA"/>
        </w:rPr>
        <w:t>本工程除甲方要求的重大变更外，原则上不允许设计变更</w:t>
      </w:r>
      <w:r>
        <w:rPr>
          <w:rStyle w:val="40"/>
          <w:rFonts w:hint="eastAsia" w:ascii="宋体" w:hAnsi="宋体" w:eastAsia="宋体" w:cs="宋体"/>
          <w:color w:val="000000"/>
          <w:sz w:val="21"/>
          <w:szCs w:val="21"/>
          <w:highlight w:val="none"/>
        </w:rPr>
        <w:t>。</w:t>
      </w:r>
    </w:p>
    <w:p>
      <w:pPr>
        <w:pStyle w:val="66"/>
        <w:spacing w:line="360" w:lineRule="auto"/>
        <w:ind w:firstLine="420"/>
        <w:rPr>
          <w:rFonts w:ascii="宋体" w:eastAsia="宋体"/>
          <w:bCs w:val="0"/>
          <w:color w:val="auto"/>
          <w:sz w:val="21"/>
          <w:szCs w:val="21"/>
          <w:highlight w:val="none"/>
        </w:rPr>
      </w:pPr>
      <w:r>
        <w:rPr>
          <w:rFonts w:hint="eastAsia" w:ascii="宋体" w:eastAsia="宋体"/>
          <w:bCs w:val="0"/>
          <w:color w:val="auto"/>
          <w:sz w:val="21"/>
          <w:szCs w:val="21"/>
          <w:highlight w:val="none"/>
        </w:rPr>
        <w:t>8、文件和技术资料</w:t>
      </w:r>
    </w:p>
    <w:p>
      <w:pPr>
        <w:snapToGrid w:val="0"/>
        <w:spacing w:line="360" w:lineRule="auto"/>
        <w:ind w:firstLine="420" w:firstLineChars="200"/>
        <w:rPr>
          <w:szCs w:val="21"/>
          <w:highlight w:val="none"/>
        </w:rPr>
      </w:pPr>
      <w:r>
        <w:rPr>
          <w:rFonts w:hint="eastAsia"/>
          <w:szCs w:val="21"/>
          <w:highlight w:val="none"/>
        </w:rPr>
        <w:t>设备交货前乙方向甲方提供下列技术资料、图纸和文件：</w:t>
      </w:r>
    </w:p>
    <w:p>
      <w:pPr>
        <w:snapToGrid w:val="0"/>
        <w:spacing w:line="360" w:lineRule="auto"/>
        <w:ind w:firstLine="420" w:firstLineChars="200"/>
        <w:rPr>
          <w:szCs w:val="21"/>
        </w:rPr>
      </w:pPr>
      <w:r>
        <w:rPr>
          <w:rFonts w:hint="eastAsia"/>
          <w:szCs w:val="21"/>
        </w:rPr>
        <w:t>（1）样本及技术规格书，要求有8份。</w:t>
      </w:r>
    </w:p>
    <w:p>
      <w:pPr>
        <w:snapToGrid w:val="0"/>
        <w:spacing w:line="360" w:lineRule="auto"/>
        <w:ind w:firstLine="420" w:firstLineChars="200"/>
        <w:rPr>
          <w:szCs w:val="21"/>
        </w:rPr>
      </w:pPr>
      <w:r>
        <w:rPr>
          <w:rFonts w:hint="eastAsia"/>
          <w:szCs w:val="21"/>
        </w:rPr>
        <w:t>（2）施工图，要求有10份。</w:t>
      </w:r>
    </w:p>
    <w:p>
      <w:pPr>
        <w:snapToGrid w:val="0"/>
        <w:spacing w:line="360" w:lineRule="auto"/>
        <w:ind w:firstLine="420" w:firstLineChars="200"/>
        <w:rPr>
          <w:szCs w:val="21"/>
        </w:rPr>
      </w:pPr>
      <w:r>
        <w:rPr>
          <w:rFonts w:hint="eastAsia"/>
          <w:szCs w:val="21"/>
        </w:rPr>
        <w:t>（3）制造厂的设备生产许可证明和合格证书。</w:t>
      </w:r>
    </w:p>
    <w:p>
      <w:pPr>
        <w:snapToGrid w:val="0"/>
        <w:spacing w:line="360" w:lineRule="auto"/>
        <w:ind w:firstLine="420" w:firstLineChars="200"/>
        <w:rPr>
          <w:szCs w:val="21"/>
        </w:rPr>
      </w:pPr>
      <w:r>
        <w:rPr>
          <w:rFonts w:hint="eastAsia"/>
          <w:szCs w:val="21"/>
        </w:rPr>
        <w:t>（4）制造厂出具的品质保证书正本。</w:t>
      </w:r>
    </w:p>
    <w:p>
      <w:pPr>
        <w:snapToGrid w:val="0"/>
        <w:spacing w:line="360" w:lineRule="auto"/>
        <w:ind w:firstLine="420" w:firstLineChars="200"/>
        <w:rPr>
          <w:szCs w:val="21"/>
        </w:rPr>
      </w:pPr>
      <w:r>
        <w:rPr>
          <w:rFonts w:hint="eastAsia"/>
          <w:szCs w:val="21"/>
        </w:rPr>
        <w:t>（5）制作期间的试验、检试报告。</w:t>
      </w:r>
    </w:p>
    <w:p>
      <w:pPr>
        <w:snapToGrid w:val="0"/>
        <w:spacing w:line="360" w:lineRule="auto"/>
        <w:ind w:firstLine="420" w:firstLineChars="200"/>
        <w:rPr>
          <w:szCs w:val="21"/>
        </w:rPr>
      </w:pPr>
      <w:r>
        <w:rPr>
          <w:rFonts w:hint="eastAsia"/>
          <w:szCs w:val="21"/>
        </w:rPr>
        <w:t>（6）出厂检试报告。设备安装、操作、维护手册或说明书，要求有8份。</w:t>
      </w:r>
    </w:p>
    <w:p>
      <w:pPr>
        <w:snapToGrid w:val="0"/>
        <w:spacing w:line="360" w:lineRule="auto"/>
        <w:ind w:firstLine="420" w:firstLineChars="200"/>
        <w:rPr>
          <w:szCs w:val="21"/>
        </w:rPr>
      </w:pPr>
      <w:r>
        <w:rPr>
          <w:rFonts w:hint="eastAsia"/>
          <w:szCs w:val="21"/>
        </w:rPr>
        <w:t>（7）甲方认为有必要提供的其他技术资料。</w:t>
      </w:r>
    </w:p>
    <w:p>
      <w:pPr>
        <w:snapToGrid w:val="0"/>
        <w:spacing w:line="360" w:lineRule="auto"/>
        <w:ind w:firstLine="420" w:firstLineChars="200"/>
        <w:rPr>
          <w:szCs w:val="21"/>
        </w:rPr>
      </w:pPr>
      <w:r>
        <w:rPr>
          <w:rFonts w:hint="eastAsia"/>
          <w:szCs w:val="21"/>
        </w:rPr>
        <w:t>（8）以上所有资料必须为中文。</w:t>
      </w:r>
    </w:p>
    <w:p>
      <w:pPr>
        <w:snapToGrid w:val="0"/>
        <w:spacing w:line="360" w:lineRule="auto"/>
        <w:ind w:firstLine="420" w:firstLineChars="200"/>
        <w:rPr>
          <w:szCs w:val="21"/>
        </w:rPr>
      </w:pPr>
      <w:r>
        <w:rPr>
          <w:rFonts w:hint="eastAsia"/>
          <w:szCs w:val="21"/>
        </w:rPr>
        <w:t>资料：提交的技术资料要符合嘉兴市海盐县建设工程质量安全管理中心的要求及市城建档案馆要求，要符合评杯要求。</w:t>
      </w:r>
    </w:p>
    <w:p>
      <w:pPr>
        <w:snapToGrid w:val="0"/>
        <w:spacing w:line="360" w:lineRule="auto"/>
        <w:ind w:firstLine="420" w:firstLineChars="200"/>
        <w:rPr>
          <w:szCs w:val="21"/>
        </w:rPr>
      </w:pPr>
      <w:r>
        <w:rPr>
          <w:rFonts w:hint="eastAsia"/>
          <w:szCs w:val="21"/>
        </w:rPr>
        <w:t>9、技术服务</w:t>
      </w:r>
    </w:p>
    <w:p>
      <w:pPr>
        <w:snapToGrid w:val="0"/>
        <w:spacing w:line="360" w:lineRule="auto"/>
        <w:ind w:firstLine="420" w:firstLineChars="200"/>
        <w:rPr>
          <w:szCs w:val="21"/>
        </w:rPr>
      </w:pPr>
      <w:r>
        <w:rPr>
          <w:rFonts w:hint="eastAsia"/>
          <w:szCs w:val="21"/>
        </w:rPr>
        <w:t>乙方免费对甲方的操作、维修人员在厂方或使用地进行技术培训。乙方提供的负责培训人员应具备同类产品5年以上的维修经验。</w:t>
      </w:r>
    </w:p>
    <w:p>
      <w:pPr>
        <w:snapToGrid w:val="0"/>
        <w:spacing w:line="360" w:lineRule="auto"/>
        <w:ind w:firstLine="420" w:firstLineChars="200"/>
        <w:rPr>
          <w:szCs w:val="21"/>
        </w:rPr>
      </w:pPr>
      <w:r>
        <w:rPr>
          <w:rFonts w:hint="eastAsia"/>
          <w:szCs w:val="21"/>
        </w:rPr>
        <w:t>10、质量、技术标准</w:t>
      </w:r>
    </w:p>
    <w:p>
      <w:pPr>
        <w:snapToGrid w:val="0"/>
        <w:spacing w:line="360" w:lineRule="auto"/>
        <w:ind w:firstLine="420" w:firstLineChars="200"/>
        <w:rPr>
          <w:szCs w:val="21"/>
        </w:rPr>
      </w:pPr>
      <w:r>
        <w:rPr>
          <w:rFonts w:hint="eastAsia"/>
          <w:szCs w:val="21"/>
        </w:rPr>
        <w:t>10.1 设备的制造、安装、验收标准及技术规范，必须符合中国国家标准，或甲方认可的其他标准。乙方必须保证交货产品各项性能不得低于中国国家标准或甲方认可的其他标准，甲方随时有抽检及送检产品的权利，检验机构为政府法定检验机构。对于产品的任何技术及质量不合格，乙方承担检测费用，甲方有权拒收、部分拒收、退货、部分退货直至解除本合同，追究乙方违约责任，并要求乙方支付承担因此造成的所有损失。因此造成工期违约的，同时承担工期违约的违约责任。</w:t>
      </w:r>
    </w:p>
    <w:p>
      <w:pPr>
        <w:snapToGrid w:val="0"/>
        <w:spacing w:line="360" w:lineRule="auto"/>
        <w:ind w:firstLine="420" w:firstLineChars="200"/>
        <w:rPr>
          <w:szCs w:val="21"/>
        </w:rPr>
      </w:pPr>
      <w:r>
        <w:rPr>
          <w:rFonts w:hint="eastAsia"/>
          <w:szCs w:val="21"/>
        </w:rPr>
        <w:t>10.2未经甲方同意，乙方不得擅自更改或换用投标产品的零部件或配件，否则，乙方承担由此发生的费用，并赔偿甲方的有关损失，延误的供货日期不予顺延。</w:t>
      </w:r>
    </w:p>
    <w:p>
      <w:pPr>
        <w:snapToGrid w:val="0"/>
        <w:spacing w:line="360" w:lineRule="auto"/>
        <w:ind w:firstLine="420" w:firstLineChars="200"/>
        <w:rPr>
          <w:szCs w:val="21"/>
        </w:rPr>
      </w:pPr>
      <w:r>
        <w:rPr>
          <w:rFonts w:hint="eastAsia"/>
          <w:szCs w:val="21"/>
        </w:rPr>
        <w:t xml:space="preserve">11、设备、材料检验 </w:t>
      </w:r>
    </w:p>
    <w:p>
      <w:pPr>
        <w:snapToGrid w:val="0"/>
        <w:spacing w:line="360" w:lineRule="auto"/>
        <w:ind w:firstLine="420" w:firstLineChars="200"/>
        <w:rPr>
          <w:szCs w:val="21"/>
        </w:rPr>
      </w:pPr>
      <w:r>
        <w:rPr>
          <w:rFonts w:hint="eastAsia"/>
          <w:szCs w:val="21"/>
        </w:rPr>
        <w:t>甲方认为有必要在设备制造过程中派人到生产厂监制，乙方应予以积极配合并对监制或预验收工作提供方便并承担相关费用。但甲方监制并不解除制造商对所有产品在制造质量上应负的全部责任，也不作为甲方的最终验收。</w:t>
      </w:r>
    </w:p>
    <w:p>
      <w:pPr>
        <w:snapToGrid w:val="0"/>
        <w:spacing w:line="360" w:lineRule="auto"/>
        <w:ind w:firstLine="420" w:firstLineChars="200"/>
        <w:rPr>
          <w:szCs w:val="21"/>
        </w:rPr>
      </w:pPr>
      <w:r>
        <w:rPr>
          <w:rFonts w:hint="eastAsia"/>
          <w:szCs w:val="21"/>
          <w:highlight w:val="none"/>
        </w:rPr>
        <w:t>在</w:t>
      </w:r>
      <w:r>
        <w:rPr>
          <w:rFonts w:hint="eastAsia"/>
          <w:szCs w:val="21"/>
          <w:highlight w:val="none"/>
          <w:lang w:eastAsia="zh-CN"/>
        </w:rPr>
        <w:t>材料</w:t>
      </w:r>
      <w:r>
        <w:rPr>
          <w:rFonts w:hint="eastAsia"/>
          <w:szCs w:val="21"/>
          <w:highlight w:val="none"/>
        </w:rPr>
        <w:t>设备供货之前，甲方会同监理工程</w:t>
      </w:r>
      <w:r>
        <w:rPr>
          <w:rFonts w:hint="eastAsia"/>
          <w:szCs w:val="21"/>
        </w:rPr>
        <w:t>师等相关单位到乙方的制造厂进行样品审核，乙方应积极配合并对甲方的工作提供方便并承担相关费用。在检验结束后，乙方须提供必要的技术数据和图纸，并提交一份测试报告给甲方，但甲方的工厂检验并不解除制造商对所有产品在制造质量上应负的全部责任。</w:t>
      </w:r>
    </w:p>
    <w:p>
      <w:pPr>
        <w:snapToGrid w:val="0"/>
        <w:spacing w:line="360" w:lineRule="auto"/>
        <w:ind w:firstLine="420" w:firstLineChars="200"/>
        <w:rPr>
          <w:szCs w:val="21"/>
        </w:rPr>
      </w:pPr>
      <w:r>
        <w:rPr>
          <w:rFonts w:hint="eastAsia"/>
          <w:szCs w:val="21"/>
        </w:rPr>
        <w:t>所有的货物准备进场时须同时提供货物出厂合格证书、检测报告。国外生产的必须有合法的进货渠道证明，如海关报关单、原产地证明、商检证明等。</w:t>
      </w:r>
    </w:p>
    <w:p>
      <w:pPr>
        <w:snapToGrid w:val="0"/>
        <w:spacing w:line="360" w:lineRule="auto"/>
        <w:ind w:firstLine="420" w:firstLineChars="200"/>
        <w:rPr>
          <w:szCs w:val="21"/>
        </w:rPr>
      </w:pPr>
      <w:r>
        <w:rPr>
          <w:rFonts w:hint="eastAsia"/>
          <w:szCs w:val="21"/>
        </w:rPr>
        <w:t>隐蔽工程必须经监理检查、验收签证后，方可进行下一道工序。没有经过监理的批准，工程的任何部分均不得覆盖或使之无法查看。乙方应保证有充分的时间，对隐蔽或无法查看工程的任何部分进行检查或测量。</w:t>
      </w:r>
    </w:p>
    <w:p>
      <w:pPr>
        <w:adjustRightInd w:val="0"/>
        <w:spacing w:line="360" w:lineRule="auto"/>
        <w:ind w:firstLine="420" w:firstLineChars="200"/>
        <w:rPr>
          <w:szCs w:val="21"/>
          <w:u w:val="single"/>
        </w:rPr>
      </w:pPr>
      <w:r>
        <w:rPr>
          <w:rFonts w:hint="eastAsia"/>
          <w:szCs w:val="21"/>
        </w:rPr>
        <w:t>样品的报送与封存：需要乙方报送样品的材料或工程设备，样品的种类、名称、规格、数量要求：</w:t>
      </w:r>
      <w:r>
        <w:rPr>
          <w:rFonts w:hint="eastAsia"/>
          <w:szCs w:val="21"/>
          <w:u w:val="single"/>
        </w:rPr>
        <w:t>以符合设计和规范要求为原则。①.一般材料由甲方、监理看样认可后自行采购；主要设备应由甲方、监理共同看样定货认可后采购。②.所有材料必须有质保书和合格证，经认证许可，并符合施工图纸和规范要求，若材料质量不符合规定要求，乙方无条件退换并承担返工损失及工期、质量违约责任。</w:t>
      </w:r>
    </w:p>
    <w:p>
      <w:pPr>
        <w:snapToGrid w:val="0"/>
        <w:spacing w:line="360" w:lineRule="auto"/>
        <w:ind w:firstLine="420" w:firstLineChars="200"/>
        <w:rPr>
          <w:szCs w:val="21"/>
        </w:rPr>
      </w:pPr>
      <w:bookmarkStart w:id="106" w:name="_Toc12914"/>
      <w:bookmarkStart w:id="107" w:name="_Toc27309"/>
      <w:bookmarkStart w:id="108" w:name="_Toc812"/>
      <w:r>
        <w:rPr>
          <w:rFonts w:hint="eastAsia"/>
          <w:szCs w:val="21"/>
        </w:rPr>
        <w:t>12、设备的安装、调试</w:t>
      </w:r>
      <w:bookmarkEnd w:id="106"/>
      <w:bookmarkEnd w:id="107"/>
      <w:bookmarkEnd w:id="108"/>
    </w:p>
    <w:p>
      <w:pPr>
        <w:snapToGrid w:val="0"/>
        <w:spacing w:line="360" w:lineRule="auto"/>
        <w:ind w:firstLine="420" w:firstLineChars="200"/>
        <w:rPr>
          <w:szCs w:val="21"/>
        </w:rPr>
      </w:pPr>
      <w:r>
        <w:rPr>
          <w:rFonts w:hint="eastAsia"/>
          <w:szCs w:val="21"/>
        </w:rPr>
        <w:t>12.1合同所订的货物到达甲方后，乙方应在收到甲方通知后2天内，及时派人前往设备交货地点进行安装调试。</w:t>
      </w:r>
    </w:p>
    <w:p>
      <w:pPr>
        <w:snapToGrid w:val="0"/>
        <w:spacing w:line="360" w:lineRule="auto"/>
        <w:ind w:firstLine="420" w:firstLineChars="200"/>
        <w:rPr>
          <w:szCs w:val="21"/>
        </w:rPr>
      </w:pPr>
      <w:r>
        <w:rPr>
          <w:rFonts w:hint="eastAsia"/>
          <w:szCs w:val="21"/>
        </w:rPr>
        <w:t>12.2乙方人员在甲方进行指导安装及设备调试期间，所有费用由乙方负责。</w:t>
      </w:r>
    </w:p>
    <w:p>
      <w:pPr>
        <w:snapToGrid w:val="0"/>
        <w:spacing w:line="360" w:lineRule="auto"/>
        <w:ind w:firstLine="420" w:firstLineChars="200"/>
        <w:rPr>
          <w:szCs w:val="21"/>
        </w:rPr>
      </w:pPr>
      <w:r>
        <w:rPr>
          <w:rFonts w:hint="eastAsia"/>
          <w:szCs w:val="21"/>
        </w:rPr>
        <w:t>12.3乙方应在设备安装完毕后的5日内完成调试工作；调试完毕后须按照甲方安排完成二个月的试运行。如因乙方责任而造成的延期，所有因安装延期而产生的费用由乙方负担并乙方应承担相应的违约责任。</w:t>
      </w:r>
    </w:p>
    <w:p>
      <w:pPr>
        <w:snapToGrid w:val="0"/>
        <w:spacing w:line="360" w:lineRule="auto"/>
        <w:ind w:firstLine="420" w:firstLineChars="200"/>
        <w:rPr>
          <w:szCs w:val="21"/>
        </w:rPr>
      </w:pPr>
      <w:r>
        <w:rPr>
          <w:rFonts w:hint="eastAsia"/>
          <w:szCs w:val="21"/>
        </w:rPr>
        <w:t>安装完毕后，甲方可以要求乙方或具有检测资质的第三方用专用仪器进行测试，乙方应负责测试和调试所需的人员、工具、材料、仪器及检测费用等一切费用，并填写测试报告交由甲方存档。如需甲方派有关人员配合，乙方应在设备安装调试前一周提出需配合工作人员的工种、人数等计划书交与甲方，以便甲方提前作好准备，确保整个工程顺利进行。甲方组织相关专家进行验收，验收人员、会务等相关的一切费用，由乙方负责。</w:t>
      </w:r>
    </w:p>
    <w:p>
      <w:pPr>
        <w:snapToGrid w:val="0"/>
        <w:spacing w:line="360" w:lineRule="auto"/>
        <w:ind w:firstLine="420" w:firstLineChars="200"/>
        <w:rPr>
          <w:szCs w:val="21"/>
        </w:rPr>
      </w:pPr>
      <w:r>
        <w:rPr>
          <w:rFonts w:hint="eastAsia"/>
          <w:szCs w:val="21"/>
        </w:rPr>
        <w:t>13、设备验收</w:t>
      </w:r>
    </w:p>
    <w:p>
      <w:pPr>
        <w:snapToGrid w:val="0"/>
        <w:spacing w:line="360" w:lineRule="auto"/>
        <w:ind w:firstLine="420" w:firstLineChars="200"/>
        <w:rPr>
          <w:szCs w:val="21"/>
        </w:rPr>
      </w:pPr>
      <w:r>
        <w:rPr>
          <w:rFonts w:hint="eastAsia"/>
          <w:szCs w:val="21"/>
        </w:rPr>
        <w:t>13.1乙方应提供验收大纲和验收标准供甲方参考，经甲方确认后，作为验收的依据。</w:t>
      </w:r>
    </w:p>
    <w:p>
      <w:pPr>
        <w:snapToGrid w:val="0"/>
        <w:spacing w:line="360" w:lineRule="auto"/>
        <w:ind w:firstLine="420" w:firstLineChars="200"/>
        <w:rPr>
          <w:szCs w:val="21"/>
        </w:rPr>
      </w:pPr>
      <w:r>
        <w:rPr>
          <w:rFonts w:hint="eastAsia"/>
          <w:szCs w:val="21"/>
        </w:rPr>
        <w:t>13.2设备到达现场后，乙方派人到现场与甲方一起开箱初步验收。乙方负责本合同项目所在地政府主管部门（质量技术监督局或卫生管理部门）的备案以及办理所需相关手续(如有)；本项目必须满足消防要求，最终应配合甲方通过消防验收。如需整改，乙方必须按照消防部门要求整改并通过验收。</w:t>
      </w:r>
    </w:p>
    <w:p>
      <w:pPr>
        <w:snapToGrid w:val="0"/>
        <w:spacing w:line="360" w:lineRule="auto"/>
        <w:ind w:firstLine="420" w:firstLineChars="200"/>
        <w:rPr>
          <w:szCs w:val="21"/>
        </w:rPr>
      </w:pPr>
      <w:r>
        <w:rPr>
          <w:rFonts w:hint="eastAsia"/>
          <w:szCs w:val="21"/>
        </w:rPr>
        <w:t>13.3设备在安装结束后，甲乙方会同当地有关部门等共同进行验收，乙方自行承担第三方检验费用（第三方检测单位须甲方及相关验收主管部门认可）。达到验收标准后，甲方在验收合格后七日内完成设备交接，并在《产品交付报告》上签字。《产品交付报告》一式两份，双方各执一份。同时乙方向甲方提供《产品合格证》、《检验报告》等技术文件。</w:t>
      </w:r>
    </w:p>
    <w:p>
      <w:pPr>
        <w:snapToGrid w:val="0"/>
        <w:spacing w:line="360" w:lineRule="auto"/>
        <w:ind w:firstLine="420" w:firstLineChars="200"/>
        <w:rPr>
          <w:szCs w:val="21"/>
        </w:rPr>
      </w:pPr>
      <w:bookmarkStart w:id="109" w:name="_Toc20765"/>
      <w:bookmarkStart w:id="110" w:name="_Toc22249"/>
      <w:bookmarkStart w:id="111" w:name="_Toc8150"/>
      <w:r>
        <w:rPr>
          <w:rFonts w:hint="eastAsia"/>
          <w:szCs w:val="21"/>
        </w:rPr>
        <w:t>14、质保及维修</w:t>
      </w:r>
      <w:bookmarkEnd w:id="109"/>
      <w:bookmarkEnd w:id="110"/>
      <w:bookmarkEnd w:id="111"/>
    </w:p>
    <w:p>
      <w:pPr>
        <w:snapToGrid w:val="0"/>
        <w:spacing w:line="360" w:lineRule="auto"/>
        <w:ind w:firstLine="420" w:firstLineChars="200"/>
        <w:rPr>
          <w:szCs w:val="21"/>
        </w:rPr>
      </w:pPr>
      <w:r>
        <w:rPr>
          <w:rFonts w:hint="eastAsia"/>
          <w:szCs w:val="21"/>
        </w:rPr>
        <w:t>14.1项目质量保证期为:自医院项目竣工验收合格之日起算</w:t>
      </w:r>
      <w:r>
        <w:rPr>
          <w:rFonts w:hint="eastAsia"/>
          <w:szCs w:val="21"/>
          <w:u w:val="single"/>
        </w:rPr>
        <w:t xml:space="preserve">     </w:t>
      </w:r>
      <w:r>
        <w:rPr>
          <w:rFonts w:hint="eastAsia"/>
          <w:szCs w:val="21"/>
        </w:rPr>
        <w:t>个月，乙方承诺超过本要求的，以优惠者为准，若其他产品配件另有超过24个月的厂家质保规定或承诺的，按其规定或承诺执行。质保期内如无问题，则在质保期满时，由甲方提交质保期验收报告，验收由甲方签字认可。</w:t>
      </w:r>
    </w:p>
    <w:p>
      <w:pPr>
        <w:snapToGrid w:val="0"/>
        <w:spacing w:line="360" w:lineRule="auto"/>
        <w:ind w:firstLine="420" w:firstLineChars="200"/>
        <w:rPr>
          <w:szCs w:val="21"/>
        </w:rPr>
      </w:pPr>
      <w:r>
        <w:rPr>
          <w:rFonts w:hint="eastAsia"/>
          <w:szCs w:val="21"/>
        </w:rPr>
        <w:t>14.2在设备质保期内，因设备本身的缺陷导致各种故障，乙方应负责免费更换产品，提供技术服务和指导设备维修，更换后的产品的质量保证期为更换后的产品使用之日起至少</w:t>
      </w:r>
      <w:r>
        <w:rPr>
          <w:rFonts w:hint="eastAsia"/>
          <w:szCs w:val="21"/>
          <w:u w:val="single"/>
        </w:rPr>
        <w:t xml:space="preserve">     </w:t>
      </w:r>
      <w:r>
        <w:rPr>
          <w:rFonts w:hint="eastAsia"/>
          <w:szCs w:val="21"/>
        </w:rPr>
        <w:t>。</w:t>
      </w:r>
    </w:p>
    <w:p>
      <w:pPr>
        <w:snapToGrid w:val="0"/>
        <w:spacing w:line="360" w:lineRule="auto"/>
        <w:ind w:firstLine="420" w:firstLineChars="200"/>
        <w:rPr>
          <w:szCs w:val="21"/>
        </w:rPr>
      </w:pPr>
      <w:r>
        <w:rPr>
          <w:rFonts w:hint="eastAsia"/>
          <w:szCs w:val="21"/>
        </w:rPr>
        <w:t>14.3如设备在质保期后发生故障，乙方在收到甲方的书面维修通知后，应即时给予响应。在质保期内的工作应包括对所有设备</w:t>
      </w:r>
      <w:r>
        <w:rPr>
          <w:rFonts w:hint="eastAsia"/>
          <w:szCs w:val="21"/>
          <w:u w:val="single"/>
        </w:rPr>
        <w:t>每月至少2次</w:t>
      </w:r>
      <w:r>
        <w:rPr>
          <w:rFonts w:hint="eastAsia"/>
          <w:szCs w:val="21"/>
        </w:rPr>
        <w:t>的常规检查、调整和润滑，做好检查台账。</w:t>
      </w:r>
    </w:p>
    <w:p>
      <w:pPr>
        <w:snapToGrid w:val="0"/>
        <w:spacing w:line="360" w:lineRule="auto"/>
        <w:ind w:firstLine="420" w:firstLineChars="200"/>
        <w:rPr>
          <w:szCs w:val="21"/>
        </w:rPr>
      </w:pPr>
      <w:r>
        <w:rPr>
          <w:rFonts w:hint="eastAsia"/>
          <w:szCs w:val="21"/>
        </w:rPr>
        <w:t>14.4乙方在投标文件中所承诺的辅材、配件价格及保修期外的保修年费及服务方案做为合同的一部分。</w:t>
      </w:r>
    </w:p>
    <w:p>
      <w:pPr>
        <w:snapToGrid w:val="0"/>
        <w:spacing w:line="360" w:lineRule="auto"/>
        <w:ind w:firstLine="420" w:firstLineChars="200"/>
        <w:rPr>
          <w:szCs w:val="21"/>
        </w:rPr>
      </w:pPr>
      <w:r>
        <w:rPr>
          <w:rFonts w:hint="eastAsia"/>
          <w:szCs w:val="21"/>
        </w:rPr>
        <w:t>14.5在保修期内，乙方应保证所提供设备无故障开机运行，如达不到要求，保修期应顺延，并且乙方应赔偿甲方经济损失。对保修期内的维修服务，乙方应在接到甲方通知后做出响应并提出解决办法，无偿负责设备的调试或更换已损坏的零部件；保修期以后的维修服务，乙方维修人员应做到在甲方发出维修通知后在承诺的响应时间内进行设备维修，更换已损坏的零部件。双方将对保修期外服务条款及费用的收取签署保修协议。</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15、安全要求：</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15.1乙方在实施作业期间，必须做好安全生产工作。实施过程中，必须严格按照安全程序进行，同时应做好加强安全教育和安全监督，确保不出现各类安全事故。接受行业监督人员依法实施的检查和监督，承包方在所属现场在施工期间，所发生的一切安全问题和治安问题由承包方负责。</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15.2乙方在实施过程中应采取必要的安全防护和消防措施，保障作业人员及出入施工现场人员的安全。乙方应为施工人员办理所需的工伤等保险，费用由乙方自行负责。乙方应为本项目办理第三者责任险，同时为施工人员办理所需的工伤保险和意外伤害险等保险，费用由乙方自行承担。</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15.3乙方在实施过程中如发生质量事故责任全部自行承担，及时报告甲方。做到及时查清事故原因，分清事故责任，并采取有效的补救措施。一般质量事故的处理方案应送甲方共同研究实施；重大质量事故的处理按国家相关条例执行。</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15.4本项目实施过程中出现的作业人员或因承包人原因引起的第三方人员、财产损失，造成的责任和因此发生的费用，由乙方承担。</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15.5本项目实施过程中，由乙方引起的管线、线路等损坏由乙方承担相应的责任和损失。</w:t>
      </w:r>
    </w:p>
    <w:p>
      <w:pPr>
        <w:pStyle w:val="66"/>
        <w:spacing w:line="360" w:lineRule="auto"/>
        <w:ind w:firstLine="420"/>
        <w:rPr>
          <w:rFonts w:ascii="宋体" w:eastAsia="宋体"/>
          <w:bCs w:val="0"/>
          <w:color w:val="auto"/>
          <w:sz w:val="21"/>
          <w:szCs w:val="21"/>
        </w:rPr>
      </w:pPr>
      <w:bookmarkStart w:id="112" w:name="_Toc10358"/>
      <w:bookmarkStart w:id="113" w:name="_Toc6009"/>
      <w:bookmarkStart w:id="114" w:name="_Toc24270"/>
      <w:r>
        <w:rPr>
          <w:rFonts w:hint="eastAsia" w:ascii="宋体" w:eastAsia="宋体"/>
          <w:bCs w:val="0"/>
          <w:color w:val="auto"/>
          <w:sz w:val="21"/>
          <w:szCs w:val="21"/>
        </w:rPr>
        <w:t>16、违约责任</w:t>
      </w:r>
      <w:bookmarkEnd w:id="112"/>
      <w:bookmarkEnd w:id="113"/>
      <w:bookmarkEnd w:id="114"/>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16.1合同约定工期节点（含过程节点）的，每逾期一天，乙方按5000元/天向甲方支付违约金；逾期超过30天的，甲方有权解除合同</w:t>
      </w:r>
      <w:r>
        <w:rPr>
          <w:rFonts w:hint="eastAsia"/>
          <w:color w:val="auto"/>
          <w:sz w:val="21"/>
          <w:szCs w:val="21"/>
        </w:rPr>
        <w:t>，</w:t>
      </w:r>
      <w:r>
        <w:rPr>
          <w:rFonts w:hint="eastAsia" w:ascii="宋体" w:eastAsia="宋体"/>
          <w:bCs w:val="0"/>
          <w:color w:val="auto"/>
          <w:sz w:val="21"/>
          <w:szCs w:val="21"/>
        </w:rPr>
        <w:t>并按照本合同第16.5条款约定对乙方除以违约金，并由乙方承担所有的违约责任并承担由此造成的甲方的全部损失。乙方总工期超过本合同约定期限的，按照逾期交货承担违约责任。</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16.2乙方交付的货品不能满足招标文件及合同主要技术标准及质量要求的，应按照要求更换、重做、修理，每发生一次退货，乙方应向甲方支付违约金10万元/次，累计发生2次（含）以上的，甲方有权解除本合同、甲方有权没收全部的履约保证金，乙方承担全部的违约责任并乙方应承担因此造成的甲方的所有损失。因此造成交货逾期的，每逾期一天，乙方按1万元/天向甲方支付违约金；逾期超过30天的，甲方有权解除合同，</w:t>
      </w:r>
      <w:r>
        <w:rPr>
          <w:rFonts w:hint="eastAsia" w:ascii="宋体" w:eastAsia="宋体"/>
          <w:color w:val="auto"/>
          <w:sz w:val="21"/>
          <w:szCs w:val="21"/>
        </w:rPr>
        <w:t>并按照本合同第16.5条款约定对乙方除以违约金。</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16.3乙方接受甲方对供货期调整的要求，具体方式为：甲方提前十五天发出有甲方代表签发的书面通知，乙方进行书面确认后即可执行，对此甲方不承担违约责任。</w:t>
      </w:r>
    </w:p>
    <w:p>
      <w:pPr>
        <w:pStyle w:val="10"/>
        <w:spacing w:line="360" w:lineRule="auto"/>
        <w:rPr>
          <w:rFonts w:ascii="宋体" w:eastAsia="宋体"/>
          <w:bCs w:val="0"/>
          <w:color w:val="auto"/>
          <w:sz w:val="21"/>
          <w:szCs w:val="21"/>
        </w:rPr>
      </w:pPr>
      <w:r>
        <w:rPr>
          <w:rFonts w:hint="eastAsia" w:ascii="宋体" w:eastAsia="宋体"/>
          <w:bCs w:val="0"/>
          <w:color w:val="auto"/>
          <w:sz w:val="21"/>
          <w:szCs w:val="21"/>
        </w:rPr>
        <w:t>16.4如果乙方对本合同的执行敷衍了事，或忽视履行本合同约定的乙方任何工作及责任，而且从甲方发出书面要求</w:t>
      </w:r>
      <w:r>
        <w:rPr>
          <w:rFonts w:hint="eastAsia" w:ascii="宋体" w:eastAsia="宋体"/>
          <w:bCs w:val="0"/>
          <w:color w:val="auto"/>
          <w:sz w:val="21"/>
          <w:szCs w:val="21"/>
          <w:lang w:eastAsia="zh-CN"/>
        </w:rPr>
        <w:t>期限内</w:t>
      </w:r>
      <w:r>
        <w:rPr>
          <w:rFonts w:hint="eastAsia" w:ascii="宋体" w:eastAsia="宋体"/>
          <w:bCs w:val="0"/>
          <w:color w:val="auto"/>
          <w:sz w:val="21"/>
          <w:szCs w:val="21"/>
        </w:rPr>
        <w:t>仍未采取有效措施并体现效果的，</w:t>
      </w:r>
      <w:r>
        <w:rPr>
          <w:rFonts w:hint="eastAsia" w:ascii="宋体" w:eastAsia="宋体"/>
          <w:bCs w:val="0"/>
          <w:color w:val="auto"/>
          <w:sz w:val="21"/>
          <w:szCs w:val="21"/>
          <w:highlight w:val="none"/>
        </w:rPr>
        <w:t>乙方按1万元/</w:t>
      </w:r>
      <w:r>
        <w:rPr>
          <w:rFonts w:hint="eastAsia" w:ascii="宋体"/>
          <w:bCs w:val="0"/>
          <w:color w:val="auto"/>
          <w:sz w:val="21"/>
          <w:szCs w:val="21"/>
          <w:highlight w:val="none"/>
          <w:lang w:eastAsia="zh-CN"/>
        </w:rPr>
        <w:t>次</w:t>
      </w:r>
      <w:r>
        <w:rPr>
          <w:rFonts w:hint="eastAsia" w:ascii="宋体" w:eastAsia="宋体"/>
          <w:bCs w:val="0"/>
          <w:color w:val="auto"/>
          <w:sz w:val="21"/>
          <w:szCs w:val="21"/>
          <w:highlight w:val="none"/>
        </w:rPr>
        <w:t>向甲方支付违约金</w:t>
      </w:r>
      <w:r>
        <w:rPr>
          <w:rFonts w:hint="eastAsia" w:ascii="宋体"/>
          <w:bCs w:val="0"/>
          <w:color w:val="auto"/>
          <w:sz w:val="21"/>
          <w:szCs w:val="21"/>
          <w:highlight w:val="none"/>
          <w:lang w:eastAsia="zh-CN"/>
        </w:rPr>
        <w:t>或从工程款中扣除，情节严重</w:t>
      </w:r>
      <w:r>
        <w:rPr>
          <w:rFonts w:hint="eastAsia" w:ascii="宋体" w:eastAsia="宋体"/>
          <w:bCs w:val="0"/>
          <w:color w:val="auto"/>
          <w:sz w:val="21"/>
          <w:szCs w:val="21"/>
          <w:highlight w:val="none"/>
        </w:rPr>
        <w:t>甲方有权解除本合同，并书面通知乙方，由</w:t>
      </w:r>
      <w:r>
        <w:rPr>
          <w:rFonts w:hint="eastAsia" w:ascii="宋体" w:eastAsia="宋体"/>
          <w:bCs w:val="0"/>
          <w:color w:val="auto"/>
          <w:sz w:val="21"/>
          <w:szCs w:val="21"/>
        </w:rPr>
        <w:t>此造成的经济损失，甲方有权在给乙方的任何款项中先行提取补偿，不足部分乙方仍应予以赔偿。</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16.5因乙方原因解除本合同时，乙方应向甲方支付签约合同价款20%的违约金，且甲方有权决定是否接受属于乙方在现场的一切设施、设备、材料使用于本工程，并乙方应承担由此造成的甲方的全部损失。</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16.6未经甲方面同意，乙方将本合同的权利、义务以任何形式全部或部分让与他人的，甲方有权解除本合同、没收全部的履约保证金，乙方应按照本合同价款总额的20%向甲方支付违约金，并赔偿由此造成的甲方的全部损失。</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16.7本合同中所有乙方应支付给甲方的违约金，乙方在收到书面通知后未及时支付的，甲方有权在应付乙方的任何款项中扣除。</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16.8因乙方原因延误工期给甲方造成损失的（包括但直接损失与间接损失）均由乙方承担相应责任及费用，甲方有权从乙方工程款中扣除相应费用，不足部分甲方有权追偿。</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16.9因乙方原因造成本项目单项或整体验收不合格的，甲方有权没收乙方缴纳的履约保证金，同时由此产生的一切责任与费用均由乙方承担，甲方有权在乙方工程款中扣除相应费用，不足部分甲方有权追偿。</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16.10因乙方原因造成本项目未能通过“钱江杯”“鲁班奖”验收标准的，对</w:t>
      </w:r>
      <w:r>
        <w:rPr>
          <w:rFonts w:hint="eastAsia"/>
          <w:color w:val="auto"/>
          <w:sz w:val="21"/>
          <w:szCs w:val="21"/>
        </w:rPr>
        <w:t>乙方处以合同价2%的违约金，</w:t>
      </w:r>
      <w:r>
        <w:rPr>
          <w:rFonts w:hint="eastAsia" w:ascii="宋体" w:eastAsia="宋体"/>
          <w:bCs w:val="0"/>
          <w:color w:val="auto"/>
          <w:sz w:val="21"/>
          <w:szCs w:val="21"/>
        </w:rPr>
        <w:t>同时由此产生的一切责任与费用均由乙方承担，甲方有权在乙方工程款中扣除相应费用，不足部分甲方有权追偿。</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16.11在项目实施过程中，因工程质量、安全、进度等问题，乙方未按全过程咨询单位（含监理）或甲方整改通知单进行整改或整改</w:t>
      </w:r>
      <w:r>
        <w:rPr>
          <w:rFonts w:hint="eastAsia" w:ascii="宋体" w:eastAsia="宋体"/>
          <w:bCs w:val="0"/>
          <w:color w:val="auto"/>
          <w:sz w:val="21"/>
          <w:szCs w:val="21"/>
          <w:highlight w:val="none"/>
        </w:rPr>
        <w:t>不力，导致全过程咨询单位（含监理）或甲方就该问题签发第二次整改通知的，每发生一起应向甲方支付违约金</w:t>
      </w:r>
      <w:r>
        <w:rPr>
          <w:rFonts w:hint="eastAsia" w:ascii="宋体" w:eastAsia="宋体"/>
          <w:bCs w:val="0"/>
          <w:color w:val="auto"/>
          <w:sz w:val="21"/>
          <w:szCs w:val="21"/>
          <w:highlight w:val="none"/>
          <w:lang w:val="en-US" w:eastAsia="zh-CN"/>
        </w:rPr>
        <w:t>2</w:t>
      </w:r>
      <w:r>
        <w:rPr>
          <w:rFonts w:hint="eastAsia" w:ascii="宋体" w:eastAsia="宋体"/>
          <w:bCs w:val="0"/>
          <w:color w:val="auto"/>
          <w:sz w:val="21"/>
          <w:szCs w:val="21"/>
          <w:highlight w:val="none"/>
        </w:rPr>
        <w:t>万元，在</w:t>
      </w:r>
      <w:r>
        <w:rPr>
          <w:rFonts w:hint="eastAsia" w:ascii="宋体" w:eastAsia="宋体"/>
          <w:bCs w:val="0"/>
          <w:color w:val="auto"/>
          <w:sz w:val="21"/>
          <w:szCs w:val="21"/>
        </w:rPr>
        <w:t>三次书面通知后乙方仍未按要求进行整改到位的，乙方应按签约合同价的2％向甲方支付违约金，甲方有权单方终止合同要求乙方承担全部违约责任。</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16.</w:t>
      </w:r>
      <w:r>
        <w:rPr>
          <w:rFonts w:hint="eastAsia" w:ascii="宋体" w:eastAsia="宋体"/>
          <w:bCs w:val="0"/>
          <w:color w:val="auto"/>
          <w:sz w:val="21"/>
          <w:szCs w:val="21"/>
          <w:lang w:val="en-US" w:eastAsia="zh-CN"/>
        </w:rPr>
        <w:t>12</w:t>
      </w:r>
      <w:r>
        <w:rPr>
          <w:rFonts w:hint="eastAsia" w:ascii="宋体" w:eastAsia="宋体"/>
          <w:bCs w:val="0"/>
          <w:color w:val="auto"/>
          <w:sz w:val="21"/>
          <w:szCs w:val="21"/>
        </w:rPr>
        <w:t>项目负责人每月在本项目上班时间不足22天，以违约论，按每天2000元支付违约金(从项目同期进度款中扣除）；乙方无正当理由不得更换项目负责人，如乙方未经甲方允许私自更换项目负责人，甲方有权对乙方处以人民币20万元/人/次的违约金(从项目同期进度款中扣除），乙方并承担由此增加的费用和（或）延误的工期引起的相关责任。</w:t>
      </w:r>
    </w:p>
    <w:p>
      <w:pPr>
        <w:pStyle w:val="66"/>
        <w:spacing w:line="360" w:lineRule="auto"/>
        <w:ind w:firstLine="420"/>
        <w:rPr>
          <w:rFonts w:ascii="宋体" w:eastAsia="宋体"/>
          <w:bCs w:val="0"/>
          <w:color w:val="auto"/>
          <w:sz w:val="21"/>
          <w:szCs w:val="21"/>
        </w:rPr>
      </w:pPr>
      <w:bookmarkStart w:id="115" w:name="_Toc18664"/>
      <w:bookmarkStart w:id="116" w:name="_Toc1229"/>
      <w:bookmarkStart w:id="117" w:name="_Toc5234"/>
      <w:r>
        <w:rPr>
          <w:rFonts w:hint="eastAsia" w:ascii="宋体" w:eastAsia="宋体"/>
          <w:bCs w:val="0"/>
          <w:color w:val="auto"/>
          <w:sz w:val="21"/>
          <w:szCs w:val="21"/>
        </w:rPr>
        <w:t>17、其他</w:t>
      </w:r>
      <w:bookmarkEnd w:id="115"/>
      <w:bookmarkEnd w:id="116"/>
      <w:bookmarkEnd w:id="117"/>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17.1乙方提出使用专利技术或特殊工艺，应取得甲方和监理单位认可，乙方负责办理申报手续并承担有关费用。</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17.2乙方擅自使用专利技术侵犯他人专利权的因此产生的侵权纠纷，由乙方自行承担并每发生一次，乙方应向甲方支付违约金20000元，如造成甲方损失的，甲方有权全额向乙方追索且甲方有权视情形解除本合同。</w:t>
      </w:r>
    </w:p>
    <w:p>
      <w:pPr>
        <w:pStyle w:val="66"/>
        <w:spacing w:line="360" w:lineRule="auto"/>
        <w:ind w:firstLine="420"/>
        <w:rPr>
          <w:rFonts w:ascii="宋体" w:eastAsia="宋体"/>
          <w:bCs w:val="0"/>
          <w:color w:val="auto"/>
          <w:sz w:val="21"/>
          <w:szCs w:val="21"/>
        </w:rPr>
      </w:pPr>
      <w:bookmarkStart w:id="118" w:name="_Toc167673086"/>
      <w:r>
        <w:rPr>
          <w:rFonts w:hint="eastAsia" w:ascii="宋体" w:eastAsia="宋体"/>
          <w:bCs w:val="0"/>
          <w:color w:val="auto"/>
          <w:sz w:val="21"/>
          <w:szCs w:val="21"/>
        </w:rPr>
        <w:t>17.3 工程进度要求</w:t>
      </w:r>
      <w:bookmarkEnd w:id="118"/>
      <w:bookmarkStart w:id="119" w:name="_Toc167673087"/>
      <w:r>
        <w:rPr>
          <w:rFonts w:hint="eastAsia" w:ascii="宋体" w:eastAsia="宋体"/>
          <w:bCs w:val="0"/>
          <w:color w:val="auto"/>
          <w:sz w:val="21"/>
          <w:szCs w:val="21"/>
        </w:rPr>
        <w:t>：</w:t>
      </w:r>
    </w:p>
    <w:bookmarkEnd w:id="119"/>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乙方应根据工程总体进度计划要求，制定本工程计划进度，并应保证满足下列控制时间：</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乙方必须每月向甲方提交月进度报告。在月进度报告中须说明每项工作实际完成的百分比与计划完成的百分比的比较；以及当任务实际完成情况比计划落后时，应提出意见和说明可能产生的后果，并陈述拟采取的纠正措施。</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17.4项目实施过程中，乙方和施工总承包单位在施工界面上存在交叉施工，乙方应和施工总承包单位做好配合、协调工作，参与竣工验收，并承担施工质量责任。</w:t>
      </w:r>
    </w:p>
    <w:p>
      <w:pPr>
        <w:snapToGrid w:val="0"/>
        <w:spacing w:line="360" w:lineRule="auto"/>
        <w:ind w:firstLine="420" w:firstLineChars="200"/>
        <w:rPr>
          <w:szCs w:val="21"/>
        </w:rPr>
      </w:pPr>
      <w:r>
        <w:rPr>
          <w:rFonts w:hint="eastAsia"/>
          <w:szCs w:val="21"/>
        </w:rPr>
        <w:t>17.5为保证工程质量，在</w:t>
      </w:r>
      <w:r>
        <w:rPr>
          <w:rFonts w:hint="eastAsia"/>
          <w:szCs w:val="21"/>
          <w:lang w:eastAsia="zh-CN"/>
        </w:rPr>
        <w:t>食堂厨房</w:t>
      </w:r>
      <w:r>
        <w:rPr>
          <w:rFonts w:hint="eastAsia"/>
          <w:szCs w:val="21"/>
          <w:lang w:val="en-US" w:eastAsia="zh-CN"/>
        </w:rPr>
        <w:t>工程</w:t>
      </w:r>
      <w:r>
        <w:rPr>
          <w:rFonts w:hint="eastAsia"/>
          <w:szCs w:val="21"/>
        </w:rPr>
        <w:t>所在地建筑物验收之后，还应进行标识标牌项目单独专项验收。综合性能全面评定地检测单位需甲方认可。验收按国家有关规范、标准及当地政府主管部门要求进行。</w:t>
      </w:r>
    </w:p>
    <w:p>
      <w:pPr>
        <w:spacing w:line="360" w:lineRule="auto"/>
        <w:ind w:firstLine="420" w:firstLineChars="200"/>
        <w:rPr>
          <w:szCs w:val="21"/>
        </w:rPr>
      </w:pPr>
      <w:r>
        <w:rPr>
          <w:rFonts w:hint="eastAsia"/>
          <w:szCs w:val="21"/>
        </w:rPr>
        <w:t>验收合格条件为：</w:t>
      </w:r>
    </w:p>
    <w:p>
      <w:pPr>
        <w:numPr>
          <w:ilvl w:val="0"/>
          <w:numId w:val="18"/>
        </w:numPr>
        <w:autoSpaceDE w:val="0"/>
        <w:autoSpaceDN w:val="0"/>
        <w:spacing w:line="360" w:lineRule="auto"/>
        <w:ind w:left="0" w:firstLine="420" w:firstLineChars="200"/>
        <w:jc w:val="left"/>
        <w:rPr>
          <w:szCs w:val="21"/>
        </w:rPr>
      </w:pPr>
      <w:r>
        <w:rPr>
          <w:rFonts w:hint="eastAsia"/>
          <w:szCs w:val="21"/>
        </w:rPr>
        <w:t>运行结果符合产品标准、技术规范和招标文件及合同要求；</w:t>
      </w:r>
    </w:p>
    <w:p>
      <w:pPr>
        <w:numPr>
          <w:ilvl w:val="0"/>
          <w:numId w:val="18"/>
        </w:numPr>
        <w:autoSpaceDE w:val="0"/>
        <w:autoSpaceDN w:val="0"/>
        <w:spacing w:line="360" w:lineRule="auto"/>
        <w:ind w:left="0" w:firstLine="420" w:firstLineChars="200"/>
        <w:jc w:val="left"/>
        <w:rPr>
          <w:szCs w:val="21"/>
        </w:rPr>
      </w:pPr>
      <w:r>
        <w:rPr>
          <w:rFonts w:hint="eastAsia"/>
          <w:szCs w:val="21"/>
        </w:rPr>
        <w:t>所有规定的货物、材料、整套设备图纸及技术文件、竣工资料等都已提交并得到接受；</w:t>
      </w:r>
    </w:p>
    <w:p>
      <w:pPr>
        <w:numPr>
          <w:ilvl w:val="0"/>
          <w:numId w:val="18"/>
        </w:numPr>
        <w:autoSpaceDE w:val="0"/>
        <w:autoSpaceDN w:val="0"/>
        <w:spacing w:line="360" w:lineRule="auto"/>
        <w:ind w:left="0" w:firstLine="420" w:firstLineChars="200"/>
        <w:jc w:val="left"/>
        <w:rPr>
          <w:szCs w:val="21"/>
        </w:rPr>
      </w:pPr>
      <w:r>
        <w:rPr>
          <w:rFonts w:hint="eastAsia"/>
          <w:szCs w:val="21"/>
        </w:rPr>
        <w:t>按规定需要第三方权威部门进行检测（含抽检）的程序，必须已得到第三方权威部门出具的合格检测报告；</w:t>
      </w:r>
    </w:p>
    <w:p>
      <w:pPr>
        <w:numPr>
          <w:ilvl w:val="0"/>
          <w:numId w:val="18"/>
        </w:numPr>
        <w:autoSpaceDE w:val="0"/>
        <w:autoSpaceDN w:val="0"/>
        <w:spacing w:line="360" w:lineRule="auto"/>
        <w:ind w:left="0" w:firstLine="420" w:firstLineChars="200"/>
        <w:jc w:val="left"/>
        <w:rPr>
          <w:szCs w:val="21"/>
        </w:rPr>
      </w:pPr>
      <w:r>
        <w:rPr>
          <w:rFonts w:hint="eastAsia"/>
          <w:szCs w:val="21"/>
        </w:rPr>
        <w:t>全部处理好与本工程相关的专业单位配合、费用结算、现场配合等各项工作；</w:t>
      </w:r>
    </w:p>
    <w:p>
      <w:pPr>
        <w:numPr>
          <w:ilvl w:val="0"/>
          <w:numId w:val="18"/>
        </w:numPr>
        <w:autoSpaceDE w:val="0"/>
        <w:autoSpaceDN w:val="0"/>
        <w:spacing w:line="360" w:lineRule="auto"/>
        <w:ind w:left="0" w:firstLine="420" w:firstLineChars="200"/>
        <w:jc w:val="left"/>
        <w:rPr>
          <w:szCs w:val="21"/>
        </w:rPr>
      </w:pPr>
      <w:r>
        <w:rPr>
          <w:rFonts w:hint="eastAsia"/>
          <w:szCs w:val="21"/>
        </w:rPr>
        <w:t>整套设备在交由使用人之前已通过试运行。</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18、售后服务</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18.1 在浙江省内设有维修点，以及时处理所有的故障维修服务，需提供24小时服务，要求维修人员在接到故障报修电话后必须在2小时内做出响应并提出解决办法，在必须到现场维护的情况下，在接到通知4小时内赶到现场进行维修，并提供不间断的服务直到结束。维修人员必须及时提供备品、备件，提供不间断的故障维修服务直到故障处理服务结束。维修点需提供足够的备件以适应维修需求。维修人员资质须满足甲方需求并获得书面审批，在必须到现场维护的情况下维修人员未及时到场，扣1000元/次/人。</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18.2 每个维修项目完成后，经甲方或设备管理方验收并签字后，方为该维修项目本次维修完毕。</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18.3 乙方未按本合同约定到场维修或未按约定时间维修完毕的，甲方有权委派他方处理，处理结果由甲方或管理方签字认可后即生效，不再经由乙方确认（甲方将处理情况通知乙方），因此所发生的一切费用从乙方保修款中扣除，不足扣除的，另行向乙方追偿。且乙方未能按售后服务要求提供服务的，每发生一次，乙方应向甲方支付违约金</w:t>
      </w:r>
      <w:r>
        <w:rPr>
          <w:rFonts w:hint="eastAsia" w:ascii="宋体" w:eastAsia="宋体"/>
          <w:bCs w:val="0"/>
          <w:color w:val="auto"/>
          <w:sz w:val="21"/>
          <w:szCs w:val="21"/>
          <w:lang w:val="en-US" w:eastAsia="zh-CN"/>
        </w:rPr>
        <w:t>1万</w:t>
      </w:r>
      <w:r>
        <w:rPr>
          <w:rFonts w:hint="eastAsia" w:ascii="宋体" w:eastAsia="宋体"/>
          <w:bCs w:val="0"/>
          <w:color w:val="auto"/>
          <w:sz w:val="21"/>
          <w:szCs w:val="21"/>
        </w:rPr>
        <w:t>元。</w:t>
      </w:r>
    </w:p>
    <w:p>
      <w:pPr>
        <w:pStyle w:val="66"/>
        <w:spacing w:line="360" w:lineRule="auto"/>
        <w:ind w:firstLine="420"/>
        <w:rPr>
          <w:rFonts w:ascii="宋体" w:eastAsia="宋体"/>
          <w:bCs w:val="0"/>
          <w:color w:val="auto"/>
          <w:sz w:val="21"/>
          <w:szCs w:val="21"/>
        </w:rPr>
      </w:pPr>
      <w:bookmarkStart w:id="120" w:name="OLE_LINK6"/>
      <w:r>
        <w:rPr>
          <w:rFonts w:hint="eastAsia" w:ascii="宋体" w:eastAsia="宋体"/>
          <w:bCs w:val="0"/>
          <w:color w:val="auto"/>
          <w:sz w:val="21"/>
          <w:szCs w:val="21"/>
        </w:rPr>
        <w:t>18.</w:t>
      </w:r>
      <w:bookmarkEnd w:id="120"/>
      <w:r>
        <w:rPr>
          <w:rFonts w:hint="eastAsia" w:ascii="宋体" w:eastAsia="宋体"/>
          <w:bCs w:val="0"/>
          <w:color w:val="auto"/>
          <w:sz w:val="21"/>
          <w:szCs w:val="21"/>
        </w:rPr>
        <w:t>4 乙方承诺，无论以上质量缺陷属乙方、甲方或其他方责任，在接到通知后，均遵守上述时间性要求不问理由地进行维修，并在维修过程中与甲方及管理方共同取证，以判断责任原因，不属乙方责任的，由责任方向乙方支付材料及人工费用。</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18.5 乙方免费培训甲方指定的操作、管理人员，经培训合格后能上岗操作。</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18.6 质保期内乙方应免费保养、修理和替换由于设备、材料、施工质量的问题造成的损坏及故障。</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18.7 如因设备本身原因造成甲方经济损失，乙方应照价赔偿。</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18.8 如果乙方在中标后有新产品研制成功并投入使用，则其有义务与甲方商定产品的更新换代问题，并保证在不涉及硬件的情况下，免费为甲方提供软件升级服务。</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18.9 乙方应提供保修记录书，以便甲方随时查阅维修保养、部件更换次数、检查及维修日期等记录。</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18.10 台（套）设备在免费维修或质保期间的修理费用超过合同价的60%时，必须重新免费更新设备。</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18.11 备件供应：乙方对各种型号的设备须提供足够的备件、附件和易损件并保证是原厂生产，以满足设备正常运行的需要。</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19.不可抗力</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19.1如果双方中任何一方由于战争、严重火灾、水灾、台风和地震以及其它经双方同意属于不可抗力的事故，致使合同履行受阻时，履行合同的期限应予延长，延长的期限应相当于事故所影响的时间。</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19.2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其他</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20.1乙方应无条件配合总包及分包，以及医疗专项等其他相关参建单位，做好后续兼容、配套、对接等工作。</w:t>
      </w:r>
    </w:p>
    <w:p>
      <w:pPr>
        <w:pStyle w:val="66"/>
        <w:spacing w:line="360" w:lineRule="auto"/>
        <w:ind w:firstLine="420"/>
        <w:rPr>
          <w:rFonts w:ascii="宋体" w:eastAsia="宋体"/>
          <w:bCs w:val="0"/>
          <w:color w:val="auto"/>
          <w:sz w:val="21"/>
          <w:szCs w:val="21"/>
        </w:rPr>
      </w:pPr>
      <w:r>
        <w:rPr>
          <w:rFonts w:hint="eastAsia" w:ascii="宋体" w:eastAsia="宋体"/>
          <w:bCs w:val="0"/>
          <w:color w:val="auto"/>
          <w:sz w:val="21"/>
          <w:szCs w:val="21"/>
        </w:rPr>
        <w:t>20.2 本合同所有处罚金甲方有权从就近一次款项支付中直接扣除。</w:t>
      </w:r>
    </w:p>
    <w:p>
      <w:pPr>
        <w:spacing w:line="360" w:lineRule="auto"/>
        <w:ind w:firstLine="200"/>
        <w:rPr>
          <w:szCs w:val="21"/>
        </w:rPr>
      </w:pPr>
    </w:p>
    <w:p>
      <w:pPr>
        <w:spacing w:line="360" w:lineRule="auto"/>
        <w:ind w:firstLine="200"/>
        <w:rPr>
          <w:szCs w:val="21"/>
        </w:rPr>
      </w:pPr>
      <w:r>
        <w:rPr>
          <w:rFonts w:hint="eastAsia"/>
          <w:szCs w:val="21"/>
        </w:rPr>
        <w:t>（注：在正式签约时，根据上述精神应拟就更为详尽的合同书）</w:t>
      </w:r>
    </w:p>
    <w:p>
      <w:pPr>
        <w:spacing w:line="360" w:lineRule="auto"/>
        <w:rPr>
          <w:szCs w:val="21"/>
        </w:rPr>
      </w:pPr>
    </w:p>
    <w:p>
      <w:pPr>
        <w:spacing w:line="360" w:lineRule="auto"/>
        <w:rPr>
          <w:szCs w:val="21"/>
        </w:rPr>
      </w:pPr>
    </w:p>
    <w:p>
      <w:pPr>
        <w:spacing w:line="360" w:lineRule="auto"/>
        <w:rPr>
          <w:szCs w:val="21"/>
        </w:rPr>
      </w:pPr>
    </w:p>
    <w:p>
      <w:pPr>
        <w:spacing w:line="360" w:lineRule="auto"/>
        <w:ind w:firstLine="200"/>
        <w:rPr>
          <w:szCs w:val="21"/>
        </w:rPr>
      </w:pPr>
      <w:r>
        <w:rPr>
          <w:rFonts w:hint="eastAsia"/>
          <w:szCs w:val="21"/>
        </w:rPr>
        <w:t>合同附件：</w:t>
      </w:r>
    </w:p>
    <w:p>
      <w:pPr>
        <w:spacing w:line="360" w:lineRule="auto"/>
        <w:ind w:firstLine="200"/>
        <w:rPr>
          <w:szCs w:val="21"/>
        </w:rPr>
      </w:pPr>
      <w:r>
        <w:rPr>
          <w:rFonts w:hint="eastAsia"/>
          <w:szCs w:val="21"/>
        </w:rPr>
        <w:t>附件1：廉政合同</w:t>
      </w:r>
    </w:p>
    <w:p>
      <w:pPr>
        <w:spacing w:line="360" w:lineRule="auto"/>
        <w:ind w:firstLine="200"/>
        <w:rPr>
          <w:szCs w:val="21"/>
        </w:rPr>
      </w:pPr>
      <w:r>
        <w:rPr>
          <w:rFonts w:hint="eastAsia"/>
          <w:szCs w:val="21"/>
        </w:rPr>
        <w:t>附件2：履约保函</w:t>
      </w:r>
    </w:p>
    <w:p>
      <w:pPr>
        <w:spacing w:line="360" w:lineRule="auto"/>
        <w:ind w:firstLine="200"/>
        <w:rPr>
          <w:szCs w:val="21"/>
        </w:rPr>
      </w:pPr>
      <w:r>
        <w:rPr>
          <w:rFonts w:hint="eastAsia"/>
          <w:szCs w:val="21"/>
        </w:rPr>
        <w:t>附件3：安全生产合同</w:t>
      </w:r>
    </w:p>
    <w:p>
      <w:pPr>
        <w:spacing w:line="360" w:lineRule="auto"/>
        <w:ind w:firstLine="200"/>
        <w:rPr>
          <w:szCs w:val="21"/>
        </w:rPr>
      </w:pPr>
      <w:r>
        <w:rPr>
          <w:rFonts w:hint="eastAsia"/>
          <w:szCs w:val="21"/>
        </w:rPr>
        <w:t>附件4：工程质量保修书</w:t>
      </w:r>
    </w:p>
    <w:p>
      <w:pPr>
        <w:pStyle w:val="20"/>
        <w:jc w:val="both"/>
      </w:pPr>
    </w:p>
    <w:p>
      <w:pPr>
        <w:spacing w:line="360" w:lineRule="exact"/>
        <w:ind w:firstLine="420" w:firstLineChars="200"/>
        <w:rPr>
          <w:spacing w:val="30"/>
          <w:szCs w:val="21"/>
        </w:rPr>
      </w:pPr>
      <w:r>
        <w:rPr>
          <w:rFonts w:hint="eastAsia"/>
          <w:szCs w:val="21"/>
        </w:rPr>
        <w:br w:type="page"/>
      </w:r>
      <w:r>
        <w:rPr>
          <w:rFonts w:hint="eastAsia"/>
          <w:szCs w:val="21"/>
        </w:rPr>
        <w:t>附件1：廉政合同（格式）</w:t>
      </w:r>
    </w:p>
    <w:p>
      <w:pPr>
        <w:spacing w:line="360" w:lineRule="exact"/>
        <w:ind w:firstLine="482" w:firstLineChars="200"/>
        <w:jc w:val="center"/>
        <w:rPr>
          <w:b/>
          <w:bCs/>
          <w:sz w:val="24"/>
          <w:szCs w:val="24"/>
        </w:rPr>
      </w:pPr>
    </w:p>
    <w:p>
      <w:pPr>
        <w:spacing w:line="360" w:lineRule="exact"/>
        <w:ind w:firstLine="482" w:firstLineChars="200"/>
        <w:jc w:val="center"/>
        <w:rPr>
          <w:b/>
          <w:bCs/>
          <w:sz w:val="24"/>
          <w:szCs w:val="24"/>
        </w:rPr>
      </w:pPr>
      <w:r>
        <w:rPr>
          <w:rFonts w:hint="eastAsia"/>
          <w:b/>
          <w:bCs/>
          <w:sz w:val="24"/>
          <w:szCs w:val="24"/>
        </w:rPr>
        <w:t>廉政合同</w:t>
      </w:r>
    </w:p>
    <w:p>
      <w:pPr>
        <w:spacing w:line="360" w:lineRule="exact"/>
        <w:ind w:firstLine="420" w:firstLineChars="200"/>
        <w:rPr>
          <w:szCs w:val="21"/>
        </w:rPr>
      </w:pPr>
    </w:p>
    <w:p>
      <w:pPr>
        <w:spacing w:line="360" w:lineRule="auto"/>
        <w:ind w:firstLine="420" w:firstLineChars="200"/>
        <w:rPr>
          <w:szCs w:val="21"/>
        </w:rPr>
      </w:pPr>
      <w:r>
        <w:rPr>
          <w:rFonts w:hint="eastAsia"/>
          <w:szCs w:val="21"/>
        </w:rPr>
        <w:t>甲方 ：</w:t>
      </w:r>
      <w:r>
        <w:rPr>
          <w:rFonts w:hint="eastAsia"/>
          <w:szCs w:val="21"/>
          <w:u w:val="single"/>
        </w:rPr>
        <w:t xml:space="preserve">海盐县人民医院 </w:t>
      </w:r>
    </w:p>
    <w:p>
      <w:pPr>
        <w:spacing w:line="360" w:lineRule="auto"/>
        <w:ind w:firstLine="420" w:firstLineChars="200"/>
        <w:rPr>
          <w:szCs w:val="21"/>
        </w:rPr>
      </w:pPr>
      <w:r>
        <w:rPr>
          <w:rFonts w:hint="eastAsia"/>
          <w:szCs w:val="21"/>
        </w:rPr>
        <w:t>乙方 ：</w:t>
      </w:r>
      <w:r>
        <w:rPr>
          <w:rFonts w:hint="eastAsia"/>
          <w:szCs w:val="21"/>
          <w:u w:val="single"/>
        </w:rPr>
        <w:t xml:space="preserve">              </w:t>
      </w:r>
      <w:r>
        <w:rPr>
          <w:rFonts w:hint="eastAsia"/>
          <w:szCs w:val="21"/>
        </w:rPr>
        <w:t xml:space="preserve"> （中标单位） </w:t>
      </w:r>
    </w:p>
    <w:p>
      <w:pPr>
        <w:spacing w:line="360" w:lineRule="auto"/>
        <w:ind w:firstLine="420" w:firstLineChars="200"/>
        <w:rPr>
          <w:szCs w:val="21"/>
        </w:rPr>
      </w:pPr>
      <w:r>
        <w:rPr>
          <w:rFonts w:hint="eastAsia"/>
          <w:szCs w:val="21"/>
        </w:rPr>
        <w:t>为加强工程建设中的廉政建设，规范工程建设过程中甲、乙双方的各项活动，防止发生各种谋取不正当利益的违法违纪行为，保护国家、集体和当事人的合法权益，根据国家有关工程建设的法律法规和廉政建设责任制规定，特订立本廉政合同。</w:t>
      </w:r>
    </w:p>
    <w:p>
      <w:pPr>
        <w:spacing w:line="360" w:lineRule="auto"/>
        <w:ind w:firstLine="420" w:firstLineChars="200"/>
        <w:rPr>
          <w:szCs w:val="21"/>
        </w:rPr>
      </w:pPr>
      <w:r>
        <w:rPr>
          <w:rFonts w:hint="eastAsia"/>
          <w:szCs w:val="21"/>
        </w:rPr>
        <w:t>第一条 甲乙双方的责任</w:t>
      </w:r>
    </w:p>
    <w:p>
      <w:pPr>
        <w:spacing w:line="360" w:lineRule="auto"/>
        <w:ind w:firstLine="420" w:firstLineChars="200"/>
        <w:rPr>
          <w:szCs w:val="21"/>
        </w:rPr>
      </w:pPr>
      <w:r>
        <w:rPr>
          <w:rFonts w:hint="eastAsia"/>
          <w:szCs w:val="21"/>
        </w:rPr>
        <w:t>（一）应严格遵守国家关于市场准入、项目招标投标、工程建设、市场活动的有关法律、法规，相关政策，以及廉政建设的各项规定。</w:t>
      </w:r>
    </w:p>
    <w:p>
      <w:pPr>
        <w:spacing w:line="360" w:lineRule="auto"/>
        <w:ind w:firstLine="420" w:firstLineChars="200"/>
        <w:rPr>
          <w:szCs w:val="21"/>
        </w:rPr>
      </w:pPr>
      <w:r>
        <w:rPr>
          <w:rFonts w:hint="eastAsia"/>
          <w:szCs w:val="21"/>
        </w:rPr>
        <w:t>（二）严格执行海盐县人民医院迁建工程（暂名）</w:t>
      </w:r>
      <w:r>
        <w:rPr>
          <w:rFonts w:hint="eastAsia"/>
          <w:sz w:val="21"/>
          <w:szCs w:val="21"/>
          <w:lang w:val="zh-CN" w:eastAsia="zh-CN"/>
        </w:rPr>
        <w:t>食堂厨房</w:t>
      </w:r>
      <w:r>
        <w:rPr>
          <w:rFonts w:hint="eastAsia"/>
          <w:sz w:val="21"/>
          <w:szCs w:val="21"/>
          <w:lang w:val="en-US" w:eastAsia="zh-CN"/>
        </w:rPr>
        <w:t>工程</w:t>
      </w:r>
      <w:r>
        <w:rPr>
          <w:rFonts w:hint="eastAsia"/>
          <w:szCs w:val="21"/>
        </w:rPr>
        <w:t>供货协议书文件，自觉按协议书办事。</w:t>
      </w:r>
    </w:p>
    <w:p>
      <w:pPr>
        <w:spacing w:line="360" w:lineRule="auto"/>
        <w:ind w:firstLine="420" w:firstLineChars="200"/>
        <w:rPr>
          <w:szCs w:val="21"/>
        </w:rPr>
      </w:pPr>
      <w:r>
        <w:rPr>
          <w:rFonts w:hint="eastAsia"/>
          <w:szCs w:val="21"/>
        </w:rPr>
        <w:t>（三）业务活动必须坚持公开、公平、公正、诚信、透明的原则（除法律法规另有规定者外），不得为获取不正当的利益，损害国家、集体和对方利益，不得违反工程建设管理的规章制度。</w:t>
      </w:r>
    </w:p>
    <w:p>
      <w:pPr>
        <w:spacing w:line="360" w:lineRule="auto"/>
        <w:ind w:firstLine="420" w:firstLineChars="200"/>
        <w:rPr>
          <w:szCs w:val="21"/>
        </w:rPr>
      </w:pPr>
      <w:r>
        <w:rPr>
          <w:rFonts w:hint="eastAsia"/>
          <w:szCs w:val="21"/>
        </w:rPr>
        <w:t>（四）发现对方在业务活动中有违规、违纪、违法行为的，应及时提醒对方，情节严重的，应向其上级主管部门或纪检监察、司法等有关机关举报。</w:t>
      </w:r>
    </w:p>
    <w:p>
      <w:pPr>
        <w:spacing w:line="360" w:lineRule="auto"/>
        <w:ind w:firstLine="420" w:firstLineChars="200"/>
        <w:rPr>
          <w:szCs w:val="21"/>
        </w:rPr>
      </w:pPr>
      <w:r>
        <w:rPr>
          <w:rFonts w:hint="eastAsia"/>
          <w:szCs w:val="21"/>
        </w:rPr>
        <w:t>第二条 甲方的责任</w:t>
      </w:r>
    </w:p>
    <w:p>
      <w:pPr>
        <w:spacing w:line="360" w:lineRule="auto"/>
        <w:ind w:firstLine="420" w:firstLineChars="200"/>
        <w:rPr>
          <w:szCs w:val="21"/>
        </w:rPr>
      </w:pPr>
      <w:r>
        <w:rPr>
          <w:rFonts w:hint="eastAsia"/>
          <w:szCs w:val="21"/>
        </w:rPr>
        <w:t>甲方的领导和从事该建设工程项目的工作人员，在工程建设的事前、事中、事后应遵守以下规定：</w:t>
      </w:r>
    </w:p>
    <w:p>
      <w:pPr>
        <w:spacing w:line="360" w:lineRule="auto"/>
        <w:ind w:firstLine="420" w:firstLineChars="200"/>
        <w:rPr>
          <w:szCs w:val="21"/>
        </w:rPr>
      </w:pPr>
      <w:r>
        <w:rPr>
          <w:rFonts w:hint="eastAsia"/>
          <w:szCs w:val="21"/>
        </w:rPr>
        <w:t>（一）不准向乙方和相关单位索要或接受回扣、礼金、有价证券、贵重物品和好处费、感谢费等。</w:t>
      </w:r>
    </w:p>
    <w:p>
      <w:pPr>
        <w:spacing w:line="360" w:lineRule="auto"/>
        <w:ind w:firstLine="420" w:firstLineChars="200"/>
        <w:rPr>
          <w:szCs w:val="21"/>
        </w:rPr>
      </w:pPr>
      <w:r>
        <w:rPr>
          <w:rFonts w:hint="eastAsia"/>
          <w:szCs w:val="21"/>
        </w:rPr>
        <w:t>（二）不准在乙方和相关单位报销任何应由甲方或个人支付的费用。</w:t>
      </w:r>
    </w:p>
    <w:p>
      <w:pPr>
        <w:spacing w:line="360" w:lineRule="auto"/>
        <w:ind w:firstLine="420" w:firstLineChars="200"/>
        <w:rPr>
          <w:szCs w:val="21"/>
        </w:rPr>
      </w:pPr>
      <w:r>
        <w:rPr>
          <w:rFonts w:hint="eastAsia"/>
          <w:szCs w:val="21"/>
        </w:rPr>
        <w:t>（三）不准要求、暗示或接受乙方和相关单位为个人装修住房、婚丧嫁娶、配偶子女的工作安排以及出国（境）、旅游等提供方便。</w:t>
      </w:r>
    </w:p>
    <w:p>
      <w:pPr>
        <w:spacing w:line="360" w:lineRule="auto"/>
        <w:ind w:firstLine="420" w:firstLineChars="200"/>
        <w:rPr>
          <w:szCs w:val="21"/>
        </w:rPr>
      </w:pPr>
      <w:r>
        <w:rPr>
          <w:rFonts w:hint="eastAsia"/>
          <w:szCs w:val="21"/>
        </w:rPr>
        <w:t>（四）不准参加有可能影响公正执行公务的乙方和相关单位的宴请、娱乐等活动。</w:t>
      </w:r>
    </w:p>
    <w:p>
      <w:pPr>
        <w:spacing w:line="360" w:lineRule="auto"/>
        <w:ind w:firstLine="420" w:firstLineChars="200"/>
        <w:rPr>
          <w:szCs w:val="21"/>
        </w:rPr>
      </w:pPr>
      <w:r>
        <w:rPr>
          <w:rFonts w:hint="eastAsia"/>
          <w:szCs w:val="21"/>
        </w:rPr>
        <w:t>（五）不准向乙方和相关单位介绍或为配偶、子女、亲属参与同甲方钢筋供货合同有关的业务等活动。不得以任何理由要求乙方和相关单位在生产过程中使用某种产品、材料和设备。</w:t>
      </w:r>
    </w:p>
    <w:p>
      <w:pPr>
        <w:spacing w:line="360" w:lineRule="auto"/>
        <w:ind w:firstLine="420" w:firstLineChars="200"/>
        <w:rPr>
          <w:szCs w:val="21"/>
        </w:rPr>
      </w:pPr>
      <w:r>
        <w:rPr>
          <w:rFonts w:hint="eastAsia"/>
          <w:szCs w:val="21"/>
        </w:rPr>
        <w:t>第三条 乙方的责任</w:t>
      </w:r>
    </w:p>
    <w:p>
      <w:pPr>
        <w:spacing w:line="360" w:lineRule="auto"/>
        <w:ind w:firstLine="420" w:firstLineChars="200"/>
        <w:rPr>
          <w:szCs w:val="21"/>
        </w:rPr>
      </w:pPr>
      <w:r>
        <w:rPr>
          <w:rFonts w:hint="eastAsia"/>
          <w:szCs w:val="21"/>
        </w:rPr>
        <w:t>应与甲方保持正常的业务交往，按照有关法律法规和程序开展业务工作，严格执行工程建设的有关方针、政策，尤其是有关强制性标准和规范，并遵守以下规定：</w:t>
      </w:r>
    </w:p>
    <w:p>
      <w:pPr>
        <w:spacing w:line="360" w:lineRule="auto"/>
        <w:ind w:firstLine="420" w:firstLineChars="200"/>
        <w:rPr>
          <w:szCs w:val="21"/>
        </w:rPr>
      </w:pPr>
      <w:r>
        <w:rPr>
          <w:rFonts w:hint="eastAsia"/>
          <w:szCs w:val="21"/>
        </w:rPr>
        <w:t>（一）不准以任何理由向甲方及其工作人员索要、接受或赠送礼金、有价证券、贵重物品及回扣、好处费、感谢费等。</w:t>
      </w:r>
    </w:p>
    <w:p>
      <w:pPr>
        <w:spacing w:line="360" w:lineRule="auto"/>
        <w:ind w:firstLine="420" w:firstLineChars="200"/>
        <w:rPr>
          <w:szCs w:val="21"/>
        </w:rPr>
      </w:pPr>
      <w:r>
        <w:rPr>
          <w:rFonts w:hint="eastAsia"/>
          <w:szCs w:val="21"/>
        </w:rPr>
        <w:t>（二）不准以任何理由为甲方和相关单位报销应由对方或个人支付的费用。</w:t>
      </w:r>
    </w:p>
    <w:p>
      <w:pPr>
        <w:spacing w:line="360" w:lineRule="auto"/>
        <w:ind w:firstLine="420" w:firstLineChars="200"/>
        <w:rPr>
          <w:szCs w:val="21"/>
        </w:rPr>
      </w:pPr>
      <w:r>
        <w:rPr>
          <w:rFonts w:hint="eastAsia"/>
          <w:szCs w:val="21"/>
        </w:rPr>
        <w:t>（三）不准接受或暗示为甲方、相关单位或个人装修住房、婚丧嫁娶、配偶子女的工作安排以及出国（境）、旅游等提供方便。</w:t>
      </w:r>
    </w:p>
    <w:p>
      <w:pPr>
        <w:spacing w:line="360" w:lineRule="auto"/>
        <w:ind w:firstLine="420" w:firstLineChars="200"/>
        <w:rPr>
          <w:szCs w:val="21"/>
        </w:rPr>
      </w:pPr>
      <w:r>
        <w:rPr>
          <w:rFonts w:hint="eastAsia"/>
          <w:szCs w:val="21"/>
        </w:rPr>
        <w:t>（四）不准以任何理由为甲方、相关单位或个人组织有可能影响公正执行公务的宴请、健身、娱乐等活动。</w:t>
      </w:r>
    </w:p>
    <w:p>
      <w:pPr>
        <w:spacing w:line="360" w:lineRule="auto"/>
        <w:ind w:firstLine="420" w:firstLineChars="200"/>
        <w:rPr>
          <w:szCs w:val="21"/>
        </w:rPr>
      </w:pPr>
      <w:r>
        <w:rPr>
          <w:rFonts w:hint="eastAsia"/>
          <w:szCs w:val="21"/>
        </w:rPr>
        <w:t>第四条 违约责任</w:t>
      </w:r>
    </w:p>
    <w:p>
      <w:pPr>
        <w:spacing w:line="360" w:lineRule="auto"/>
        <w:ind w:firstLine="420" w:firstLineChars="200"/>
        <w:rPr>
          <w:szCs w:val="21"/>
        </w:rPr>
      </w:pPr>
      <w:r>
        <w:rPr>
          <w:rFonts w:hint="eastAsia"/>
          <w:szCs w:val="21"/>
        </w:rPr>
        <w:t>（一）甲方工作人员有违反本协议第一、二条责任行为的，按照管理权限，依据有关法律法规和规定给予党纪、政纪处分或组织处理；涉嫌犯罪的，移交司法机关追究刑事责任；给乙方单位造成经济损失的，应予以赔偿。</w:t>
      </w:r>
    </w:p>
    <w:p>
      <w:pPr>
        <w:spacing w:line="360" w:lineRule="auto"/>
        <w:ind w:firstLine="420" w:firstLineChars="200"/>
        <w:rPr>
          <w:szCs w:val="21"/>
        </w:rPr>
      </w:pPr>
      <w:r>
        <w:rPr>
          <w:rFonts w:hint="eastAsia"/>
          <w:szCs w:val="21"/>
        </w:rPr>
        <w:t>（二）乙方工作人员有违反本协议第一、三条责任行为的，按照管理权限，依据有关法律法规和规定给予党纪、政纪处分或组织处理；涉嫌犯罪的，移交司法机关追究刑事责任；给甲方单位造成经济损失的，应予以赔偿。</w:t>
      </w:r>
    </w:p>
    <w:p>
      <w:pPr>
        <w:spacing w:line="360" w:lineRule="auto"/>
        <w:ind w:firstLine="420" w:firstLineChars="200"/>
        <w:rPr>
          <w:szCs w:val="21"/>
        </w:rPr>
      </w:pPr>
      <w:r>
        <w:rPr>
          <w:rFonts w:hint="eastAsia"/>
          <w:szCs w:val="21"/>
        </w:rPr>
        <w:t>第五条 本合同与协议书具有同等法律效力。经双方签字盖章后立即生效。</w:t>
      </w:r>
    </w:p>
    <w:p>
      <w:pPr>
        <w:spacing w:line="360" w:lineRule="auto"/>
        <w:ind w:firstLine="420" w:firstLineChars="200"/>
        <w:rPr>
          <w:szCs w:val="21"/>
        </w:rPr>
      </w:pPr>
      <w:r>
        <w:rPr>
          <w:rFonts w:hint="eastAsia"/>
          <w:szCs w:val="21"/>
        </w:rPr>
        <w:t>第六条 本合同的有效期同主合同。</w:t>
      </w:r>
    </w:p>
    <w:p>
      <w:pPr>
        <w:spacing w:line="360" w:lineRule="auto"/>
        <w:ind w:firstLine="420" w:firstLineChars="200"/>
        <w:rPr>
          <w:szCs w:val="21"/>
        </w:rPr>
      </w:pPr>
      <w:r>
        <w:rPr>
          <w:rFonts w:hint="eastAsia"/>
          <w:szCs w:val="21"/>
        </w:rPr>
        <w:t>第七条 本合同正副本份数同主合同。</w:t>
      </w:r>
    </w:p>
    <w:p>
      <w:pPr>
        <w:spacing w:line="360" w:lineRule="exact"/>
        <w:ind w:firstLine="420" w:firstLineChars="200"/>
        <w:rPr>
          <w:szCs w:val="21"/>
        </w:rPr>
      </w:pPr>
    </w:p>
    <w:p>
      <w:pPr>
        <w:tabs>
          <w:tab w:val="left" w:pos="3780"/>
        </w:tabs>
        <w:spacing w:line="360" w:lineRule="exact"/>
        <w:ind w:firstLine="420" w:firstLineChars="200"/>
        <w:rPr>
          <w:szCs w:val="21"/>
        </w:rPr>
      </w:pPr>
      <w:r>
        <w:rPr>
          <w:rFonts w:hint="eastAsia"/>
          <w:szCs w:val="21"/>
        </w:rPr>
        <w:t>甲方：</w:t>
      </w:r>
      <w:r>
        <w:rPr>
          <w:rFonts w:hint="eastAsia"/>
          <w:szCs w:val="21"/>
          <w:u w:val="single"/>
        </w:rPr>
        <w:t xml:space="preserve">海盐县人民医院 </w:t>
      </w:r>
      <w:r>
        <w:rPr>
          <w:rFonts w:hint="eastAsia"/>
          <w:szCs w:val="21"/>
        </w:rPr>
        <w:t>（盖章）             乙方：</w:t>
      </w:r>
      <w:r>
        <w:rPr>
          <w:rFonts w:hint="eastAsia"/>
          <w:szCs w:val="21"/>
          <w:u w:val="single"/>
        </w:rPr>
        <w:t xml:space="preserve">                </w:t>
      </w:r>
      <w:r>
        <w:rPr>
          <w:rFonts w:hint="eastAsia"/>
          <w:szCs w:val="21"/>
        </w:rPr>
        <w:t>（盖章）</w:t>
      </w:r>
    </w:p>
    <w:p>
      <w:pPr>
        <w:spacing w:line="360" w:lineRule="exact"/>
        <w:ind w:firstLine="420" w:firstLineChars="200"/>
        <w:rPr>
          <w:szCs w:val="21"/>
          <w:u w:val="single"/>
        </w:rPr>
      </w:pPr>
    </w:p>
    <w:p>
      <w:pPr>
        <w:spacing w:line="360" w:lineRule="exact"/>
        <w:ind w:firstLine="420" w:firstLineChars="200"/>
        <w:rPr>
          <w:szCs w:val="21"/>
        </w:rPr>
      </w:pPr>
      <w:r>
        <w:rPr>
          <w:rFonts w:hint="eastAsia"/>
          <w:szCs w:val="21"/>
        </w:rPr>
        <w:t>法定代表人或                              法定代表人或</w:t>
      </w:r>
    </w:p>
    <w:p>
      <w:pPr>
        <w:spacing w:line="360" w:lineRule="exact"/>
        <w:ind w:firstLine="420" w:firstLineChars="200"/>
        <w:rPr>
          <w:szCs w:val="21"/>
        </w:rPr>
      </w:pPr>
      <w:r>
        <w:rPr>
          <w:rFonts w:hint="eastAsia"/>
          <w:szCs w:val="21"/>
        </w:rPr>
        <w:t>其委托代理人：</w:t>
      </w:r>
      <w:r>
        <w:rPr>
          <w:rFonts w:hint="eastAsia"/>
          <w:szCs w:val="21"/>
          <w:u w:val="single"/>
        </w:rPr>
        <w:t xml:space="preserve">         </w:t>
      </w:r>
      <w:r>
        <w:rPr>
          <w:rFonts w:hint="eastAsia"/>
          <w:szCs w:val="21"/>
        </w:rPr>
        <w:t>（签字）           其委托代理人：</w:t>
      </w:r>
      <w:r>
        <w:rPr>
          <w:rFonts w:hint="eastAsia"/>
          <w:szCs w:val="21"/>
          <w:u w:val="single"/>
        </w:rPr>
        <w:t xml:space="preserve">        </w:t>
      </w:r>
      <w:r>
        <w:rPr>
          <w:rFonts w:hint="eastAsia"/>
          <w:szCs w:val="21"/>
        </w:rPr>
        <w:t>（签字）</w:t>
      </w:r>
    </w:p>
    <w:p>
      <w:pPr>
        <w:spacing w:line="360" w:lineRule="exact"/>
        <w:ind w:firstLine="420" w:firstLineChars="200"/>
        <w:rPr>
          <w:szCs w:val="21"/>
        </w:rPr>
      </w:pPr>
      <w:r>
        <w:rPr>
          <w:rFonts w:hint="eastAsia"/>
          <w:szCs w:val="21"/>
        </w:rPr>
        <w:t>日期：      年     月     日              日期：     年     月       日</w:t>
      </w:r>
    </w:p>
    <w:p>
      <w:pPr>
        <w:pStyle w:val="20"/>
        <w:rPr>
          <w:rFonts w:ascii="宋体" w:hAnsi="宋体"/>
          <w:sz w:val="21"/>
          <w:szCs w:val="21"/>
        </w:rPr>
      </w:pPr>
    </w:p>
    <w:p>
      <w:pPr>
        <w:rPr>
          <w:szCs w:val="21"/>
        </w:rPr>
      </w:pPr>
    </w:p>
    <w:p>
      <w:pPr>
        <w:pStyle w:val="20"/>
        <w:rPr>
          <w:rFonts w:ascii="宋体" w:hAnsi="宋体"/>
          <w:sz w:val="21"/>
          <w:szCs w:val="21"/>
        </w:rPr>
      </w:pPr>
    </w:p>
    <w:p>
      <w:pPr>
        <w:rPr>
          <w:szCs w:val="21"/>
        </w:rPr>
      </w:pPr>
      <w:r>
        <w:rPr>
          <w:rFonts w:hint="eastAsia"/>
          <w:szCs w:val="21"/>
        </w:rPr>
        <w:br w:type="page"/>
      </w:r>
    </w:p>
    <w:p>
      <w:pPr>
        <w:spacing w:line="360" w:lineRule="exact"/>
        <w:ind w:firstLine="420" w:firstLineChars="200"/>
        <w:rPr>
          <w:szCs w:val="21"/>
        </w:rPr>
      </w:pPr>
      <w:r>
        <w:rPr>
          <w:rFonts w:hint="eastAsia"/>
          <w:szCs w:val="21"/>
        </w:rPr>
        <w:t>附件2：履约保函（格式）</w:t>
      </w:r>
    </w:p>
    <w:p>
      <w:pPr>
        <w:snapToGrid w:val="0"/>
        <w:spacing w:line="360" w:lineRule="exact"/>
        <w:ind w:firstLine="420" w:firstLineChars="200"/>
        <w:rPr>
          <w:szCs w:val="21"/>
        </w:rPr>
      </w:pPr>
    </w:p>
    <w:p>
      <w:pPr>
        <w:spacing w:line="360" w:lineRule="exact"/>
        <w:ind w:firstLine="422" w:firstLineChars="200"/>
        <w:jc w:val="center"/>
        <w:rPr>
          <w:b/>
          <w:bCs/>
          <w:szCs w:val="21"/>
        </w:rPr>
      </w:pPr>
    </w:p>
    <w:p>
      <w:pPr>
        <w:spacing w:line="360" w:lineRule="exact"/>
        <w:ind w:firstLine="482" w:firstLineChars="200"/>
        <w:jc w:val="center"/>
        <w:rPr>
          <w:b/>
          <w:bCs/>
          <w:sz w:val="24"/>
          <w:szCs w:val="24"/>
        </w:rPr>
      </w:pPr>
      <w:r>
        <w:rPr>
          <w:rFonts w:hint="eastAsia"/>
          <w:b/>
          <w:bCs/>
          <w:sz w:val="24"/>
          <w:szCs w:val="24"/>
        </w:rPr>
        <w:t>履约保函</w:t>
      </w:r>
    </w:p>
    <w:p>
      <w:pPr>
        <w:spacing w:line="360" w:lineRule="exact"/>
        <w:ind w:firstLine="422" w:firstLineChars="200"/>
        <w:rPr>
          <w:b/>
          <w:szCs w:val="21"/>
          <w:u w:val="single"/>
        </w:rPr>
      </w:pPr>
    </w:p>
    <w:p>
      <w:pPr>
        <w:spacing w:line="360" w:lineRule="auto"/>
        <w:ind w:firstLine="420" w:firstLineChars="200"/>
        <w:rPr>
          <w:b/>
          <w:szCs w:val="21"/>
        </w:rPr>
      </w:pPr>
      <w:r>
        <w:rPr>
          <w:rFonts w:hint="eastAsia"/>
          <w:szCs w:val="21"/>
          <w:u w:val="single"/>
        </w:rPr>
        <w:t xml:space="preserve">海盐县人民医院 </w:t>
      </w:r>
      <w:r>
        <w:rPr>
          <w:rFonts w:hint="eastAsia"/>
          <w:b/>
          <w:szCs w:val="21"/>
        </w:rPr>
        <w:t>：</w:t>
      </w:r>
    </w:p>
    <w:p>
      <w:pPr>
        <w:spacing w:line="360" w:lineRule="auto"/>
        <w:ind w:firstLine="420" w:firstLineChars="200"/>
        <w:rPr>
          <w:szCs w:val="21"/>
        </w:rPr>
      </w:pPr>
      <w:r>
        <w:rPr>
          <w:rFonts w:hint="eastAsia"/>
          <w:szCs w:val="21"/>
        </w:rPr>
        <w:t>鉴于</w:t>
      </w:r>
      <w:r>
        <w:rPr>
          <w:rFonts w:hint="eastAsia"/>
          <w:szCs w:val="21"/>
          <w:u w:val="single"/>
        </w:rPr>
        <w:t xml:space="preserve">            </w:t>
      </w:r>
      <w:r>
        <w:rPr>
          <w:rFonts w:hint="eastAsia"/>
          <w:szCs w:val="21"/>
        </w:rPr>
        <w:t>（以下简称“甲方”）接受</w:t>
      </w:r>
      <w:r>
        <w:rPr>
          <w:rFonts w:hint="eastAsia"/>
          <w:szCs w:val="21"/>
          <w:u w:val="single"/>
        </w:rPr>
        <w:t xml:space="preserve">          </w:t>
      </w:r>
      <w:r>
        <w:rPr>
          <w:rFonts w:hint="eastAsia"/>
          <w:szCs w:val="21"/>
        </w:rPr>
        <w:t>（以下简称“乙方”）于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 xml:space="preserve">日参加 </w:t>
      </w:r>
      <w:r>
        <w:rPr>
          <w:rFonts w:hint="eastAsia"/>
          <w:szCs w:val="21"/>
          <w:u w:val="single"/>
        </w:rPr>
        <w:t xml:space="preserve">             </w:t>
      </w:r>
      <w:r>
        <w:rPr>
          <w:rFonts w:hint="eastAsia"/>
          <w:szCs w:val="21"/>
        </w:rPr>
        <w:t>（项目名称）的投标。我方愿意无条件地、不可撤销地就乙方履行与你方订立的合同，向你方提供保函。</w:t>
      </w:r>
    </w:p>
    <w:p>
      <w:pPr>
        <w:spacing w:line="360" w:lineRule="auto"/>
        <w:ind w:firstLine="420" w:firstLineChars="200"/>
        <w:rPr>
          <w:szCs w:val="21"/>
        </w:rPr>
      </w:pPr>
      <w:r>
        <w:rPr>
          <w:rFonts w:hint="eastAsia"/>
          <w:szCs w:val="21"/>
        </w:rPr>
        <w:t>1.保函金额人民币</w:t>
      </w:r>
      <w:r>
        <w:rPr>
          <w:rFonts w:hint="eastAsia"/>
          <w:szCs w:val="21"/>
          <w:u w:val="single"/>
        </w:rPr>
        <w:t xml:space="preserve">（大写）              </w:t>
      </w:r>
      <w:r>
        <w:rPr>
          <w:rFonts w:hint="eastAsia"/>
          <w:szCs w:val="21"/>
        </w:rPr>
        <w:t>元（¥）。</w:t>
      </w:r>
    </w:p>
    <w:p>
      <w:pPr>
        <w:spacing w:line="360" w:lineRule="auto"/>
        <w:ind w:firstLine="420" w:firstLineChars="200"/>
        <w:rPr>
          <w:szCs w:val="21"/>
        </w:rPr>
      </w:pPr>
      <w:r>
        <w:rPr>
          <w:rFonts w:hint="eastAsia"/>
          <w:szCs w:val="21"/>
        </w:rPr>
        <w:t>2.保函有效期：自甲、乙双方签订的合同协议书生效之日起，至</w:t>
      </w:r>
      <w:r>
        <w:rPr>
          <w:rFonts w:hint="eastAsia"/>
          <w:szCs w:val="21"/>
          <w:u w:val="single"/>
        </w:rPr>
        <w:t xml:space="preserve">20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日止。</w:t>
      </w:r>
    </w:p>
    <w:p>
      <w:pPr>
        <w:spacing w:line="360" w:lineRule="auto"/>
        <w:ind w:firstLine="420" w:firstLineChars="200"/>
        <w:rPr>
          <w:szCs w:val="21"/>
        </w:rPr>
      </w:pPr>
      <w:r>
        <w:rPr>
          <w:rFonts w:hint="eastAsia"/>
          <w:szCs w:val="21"/>
        </w:rPr>
        <w:t>3.在本保函有效期内，我方在收到你方以书面形式提出的在担保金额内的赔偿要求后，在5个工作日内无条件支付。</w:t>
      </w:r>
    </w:p>
    <w:p>
      <w:pPr>
        <w:spacing w:line="360" w:lineRule="auto"/>
        <w:ind w:firstLine="420" w:firstLineChars="200"/>
        <w:rPr>
          <w:szCs w:val="21"/>
        </w:rPr>
      </w:pPr>
      <w:r>
        <w:rPr>
          <w:rFonts w:hint="eastAsia"/>
          <w:szCs w:val="21"/>
        </w:rPr>
        <w:t>4.甲、乙双方按规定修改合同时，我方承担本担保规定的义务不变。</w:t>
      </w:r>
    </w:p>
    <w:p>
      <w:pPr>
        <w:spacing w:line="360" w:lineRule="auto"/>
        <w:ind w:firstLine="420" w:firstLineChars="200"/>
        <w:rPr>
          <w:szCs w:val="21"/>
        </w:rPr>
      </w:pPr>
      <w:r>
        <w:rPr>
          <w:rFonts w:hint="eastAsia"/>
          <w:szCs w:val="21"/>
        </w:rPr>
        <w:t>5.本保函以及与本保函有关的纠纷，由各方协商解决，协商不成的，任何一方均可向甲方（项目所在地）人民法院提请诉讼。</w:t>
      </w: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r>
        <w:rPr>
          <w:rFonts w:hint="eastAsia"/>
          <w:szCs w:val="21"/>
        </w:rPr>
        <w:t>担保人：</w:t>
      </w:r>
      <w:r>
        <w:rPr>
          <w:rFonts w:hint="eastAsia"/>
          <w:szCs w:val="21"/>
          <w:u w:val="single"/>
        </w:rPr>
        <w:t xml:space="preserve">                  </w:t>
      </w:r>
      <w:r>
        <w:rPr>
          <w:rFonts w:hint="eastAsia"/>
          <w:szCs w:val="21"/>
        </w:rPr>
        <w:t>（盖单位公章）</w:t>
      </w:r>
    </w:p>
    <w:p>
      <w:pPr>
        <w:spacing w:line="360" w:lineRule="auto"/>
        <w:ind w:firstLine="420" w:firstLineChars="200"/>
        <w:rPr>
          <w:szCs w:val="21"/>
        </w:rPr>
      </w:pPr>
      <w:r>
        <w:rPr>
          <w:rFonts w:hint="eastAsia"/>
          <w:szCs w:val="21"/>
        </w:rPr>
        <w:t>法定代表人或其委托代理人：</w:t>
      </w:r>
      <w:r>
        <w:rPr>
          <w:rFonts w:hint="eastAsia"/>
          <w:szCs w:val="21"/>
          <w:u w:val="single"/>
        </w:rPr>
        <w:t xml:space="preserve">       </w:t>
      </w:r>
      <w:r>
        <w:rPr>
          <w:rFonts w:hint="eastAsia"/>
          <w:szCs w:val="21"/>
        </w:rPr>
        <w:t>（签字）</w:t>
      </w:r>
    </w:p>
    <w:p>
      <w:pPr>
        <w:spacing w:line="360" w:lineRule="auto"/>
        <w:ind w:firstLine="420" w:firstLineChars="200"/>
        <w:rPr>
          <w:szCs w:val="21"/>
        </w:rPr>
      </w:pPr>
      <w:r>
        <w:rPr>
          <w:rFonts w:hint="eastAsia"/>
          <w:szCs w:val="21"/>
        </w:rPr>
        <w:t>地址：</w:t>
      </w:r>
    </w:p>
    <w:p>
      <w:pPr>
        <w:spacing w:line="360" w:lineRule="auto"/>
        <w:ind w:firstLine="420" w:firstLineChars="200"/>
        <w:rPr>
          <w:szCs w:val="21"/>
        </w:rPr>
      </w:pPr>
      <w:r>
        <w:rPr>
          <w:rFonts w:hint="eastAsia"/>
          <w:szCs w:val="21"/>
        </w:rPr>
        <w:t>邮编：</w:t>
      </w:r>
    </w:p>
    <w:p>
      <w:pPr>
        <w:spacing w:line="360" w:lineRule="auto"/>
        <w:ind w:firstLine="420" w:firstLineChars="200"/>
        <w:rPr>
          <w:szCs w:val="21"/>
        </w:rPr>
      </w:pPr>
      <w:r>
        <w:rPr>
          <w:rFonts w:hint="eastAsia"/>
          <w:szCs w:val="21"/>
        </w:rPr>
        <w:t>电话：</w:t>
      </w:r>
    </w:p>
    <w:p>
      <w:pPr>
        <w:spacing w:line="360" w:lineRule="auto"/>
        <w:ind w:firstLine="420" w:firstLineChars="200"/>
        <w:rPr>
          <w:szCs w:val="21"/>
        </w:rPr>
      </w:pPr>
      <w:r>
        <w:rPr>
          <w:rFonts w:hint="eastAsia"/>
          <w:szCs w:val="21"/>
        </w:rPr>
        <w:t>传真：</w:t>
      </w:r>
    </w:p>
    <w:p>
      <w:pPr>
        <w:tabs>
          <w:tab w:val="left" w:pos="4500"/>
          <w:tab w:val="left" w:pos="4680"/>
        </w:tabs>
        <w:spacing w:line="360" w:lineRule="auto"/>
        <w:ind w:firstLine="420" w:firstLineChars="200"/>
        <w:rPr>
          <w:szCs w:val="21"/>
        </w:rPr>
      </w:pPr>
      <w:r>
        <w:rPr>
          <w:rFonts w:hint="eastAsia"/>
          <w:szCs w:val="21"/>
        </w:rPr>
        <w:t xml:space="preserve">     年     月     日</w:t>
      </w:r>
    </w:p>
    <w:p>
      <w:pPr>
        <w:spacing w:line="360" w:lineRule="auto"/>
        <w:ind w:firstLine="420" w:firstLineChars="200"/>
        <w:rPr>
          <w:szCs w:val="21"/>
        </w:rPr>
        <w:sectPr>
          <w:footerReference r:id="rId5" w:type="even"/>
          <w:pgSz w:w="11906" w:h="16838"/>
          <w:pgMar w:top="1440" w:right="1134" w:bottom="1440" w:left="1134" w:header="851" w:footer="992" w:gutter="0"/>
          <w:pgNumType w:fmt="decimal"/>
          <w:cols w:space="720" w:num="1"/>
          <w:docGrid w:linePitch="312" w:charSpace="0"/>
        </w:sectPr>
      </w:pPr>
    </w:p>
    <w:p>
      <w:pPr>
        <w:tabs>
          <w:tab w:val="left" w:pos="4500"/>
          <w:tab w:val="left" w:pos="4680"/>
        </w:tabs>
        <w:spacing w:line="360" w:lineRule="exact"/>
        <w:ind w:firstLine="422" w:firstLineChars="200"/>
        <w:rPr>
          <w:spacing w:val="30"/>
          <w:szCs w:val="21"/>
        </w:rPr>
      </w:pPr>
      <w:r>
        <w:rPr>
          <w:rFonts w:hint="eastAsia"/>
          <w:b/>
          <w:szCs w:val="21"/>
        </w:rPr>
        <w:t>附件3：安全生产合同（格式）</w:t>
      </w:r>
    </w:p>
    <w:p>
      <w:pPr>
        <w:spacing w:line="360" w:lineRule="exact"/>
        <w:ind w:firstLine="420" w:firstLineChars="200"/>
        <w:rPr>
          <w:szCs w:val="21"/>
        </w:rPr>
      </w:pPr>
    </w:p>
    <w:p>
      <w:pPr>
        <w:spacing w:line="360" w:lineRule="exact"/>
        <w:ind w:firstLine="482" w:firstLineChars="200"/>
        <w:jc w:val="center"/>
        <w:rPr>
          <w:b/>
          <w:bCs/>
          <w:sz w:val="24"/>
          <w:szCs w:val="24"/>
        </w:rPr>
      </w:pPr>
    </w:p>
    <w:p>
      <w:pPr>
        <w:spacing w:line="360" w:lineRule="exact"/>
        <w:ind w:firstLine="482" w:firstLineChars="200"/>
        <w:jc w:val="center"/>
        <w:rPr>
          <w:b/>
          <w:bCs/>
          <w:sz w:val="24"/>
          <w:szCs w:val="24"/>
        </w:rPr>
      </w:pPr>
      <w:r>
        <w:rPr>
          <w:rFonts w:hint="eastAsia"/>
          <w:b/>
          <w:bCs/>
          <w:sz w:val="24"/>
          <w:szCs w:val="24"/>
        </w:rPr>
        <w:t>安全生产合同</w:t>
      </w:r>
    </w:p>
    <w:p>
      <w:pPr>
        <w:spacing w:line="360" w:lineRule="exact"/>
        <w:ind w:firstLine="420" w:firstLineChars="200"/>
        <w:rPr>
          <w:szCs w:val="21"/>
        </w:rPr>
      </w:pPr>
    </w:p>
    <w:p>
      <w:pPr>
        <w:spacing w:line="360" w:lineRule="auto"/>
        <w:ind w:firstLine="420" w:firstLineChars="200"/>
        <w:rPr>
          <w:szCs w:val="21"/>
        </w:rPr>
      </w:pPr>
      <w:r>
        <w:rPr>
          <w:rFonts w:hint="eastAsia"/>
          <w:szCs w:val="21"/>
        </w:rPr>
        <w:t>为在</w:t>
      </w:r>
      <w:r>
        <w:rPr>
          <w:rFonts w:hint="eastAsia"/>
          <w:szCs w:val="21"/>
          <w:u w:val="single"/>
        </w:rPr>
        <w:t>海盐县人民医院迁建工程（暂名）</w:t>
      </w:r>
      <w:r>
        <w:rPr>
          <w:rFonts w:hint="eastAsia"/>
          <w:szCs w:val="21"/>
          <w:u w:val="single"/>
          <w:lang w:val="zh-CN" w:eastAsia="zh-CN"/>
        </w:rPr>
        <w:t>食堂厨房</w:t>
      </w:r>
      <w:r>
        <w:rPr>
          <w:rFonts w:hint="eastAsia"/>
          <w:szCs w:val="21"/>
          <w:u w:val="single"/>
          <w:lang w:val="en-US" w:eastAsia="zh-CN"/>
        </w:rPr>
        <w:t>工程</w:t>
      </w:r>
      <w:r>
        <w:rPr>
          <w:rFonts w:hint="eastAsia"/>
          <w:szCs w:val="21"/>
        </w:rPr>
        <w:t>供货合同的实施过程中创造安全、高效的环境，切实搞好本项目的安全管理工作，</w:t>
      </w:r>
      <w:r>
        <w:rPr>
          <w:rFonts w:hint="eastAsia"/>
          <w:szCs w:val="21"/>
          <w:u w:val="single"/>
        </w:rPr>
        <w:t xml:space="preserve">       </w:t>
      </w:r>
      <w:r>
        <w:rPr>
          <w:rFonts w:hint="eastAsia"/>
          <w:szCs w:val="21"/>
        </w:rPr>
        <w:t>（以下简称“甲方”）与</w:t>
      </w:r>
      <w:r>
        <w:rPr>
          <w:rFonts w:hint="eastAsia"/>
          <w:szCs w:val="21"/>
          <w:u w:val="single"/>
        </w:rPr>
        <w:t xml:space="preserve">        </w:t>
      </w:r>
      <w:r>
        <w:rPr>
          <w:rFonts w:hint="eastAsia"/>
          <w:szCs w:val="21"/>
        </w:rPr>
        <w:t>（以下简称“乙方”）特此签订安全生产合同如下：</w:t>
      </w:r>
    </w:p>
    <w:p>
      <w:pPr>
        <w:spacing w:line="360" w:lineRule="auto"/>
        <w:ind w:firstLine="420" w:firstLineChars="200"/>
        <w:rPr>
          <w:szCs w:val="21"/>
        </w:rPr>
      </w:pPr>
      <w:r>
        <w:rPr>
          <w:rFonts w:hint="eastAsia"/>
          <w:szCs w:val="21"/>
        </w:rPr>
        <w:t>一、甲方职责</w:t>
      </w:r>
    </w:p>
    <w:p>
      <w:pPr>
        <w:spacing w:line="360" w:lineRule="auto"/>
        <w:ind w:firstLine="420" w:firstLineChars="200"/>
        <w:rPr>
          <w:szCs w:val="21"/>
        </w:rPr>
      </w:pPr>
      <w:r>
        <w:rPr>
          <w:rFonts w:hint="eastAsia"/>
          <w:szCs w:val="21"/>
        </w:rPr>
        <w:t>1.严格遵守国家有关安全生产的法律法规等有关安全生产的规定，认真执行合同中的有关安全要求。</w:t>
      </w:r>
    </w:p>
    <w:p>
      <w:pPr>
        <w:spacing w:line="360" w:lineRule="auto"/>
        <w:ind w:firstLine="420" w:firstLineChars="200"/>
        <w:rPr>
          <w:szCs w:val="21"/>
        </w:rPr>
      </w:pPr>
      <w:r>
        <w:rPr>
          <w:rFonts w:hint="eastAsia"/>
          <w:szCs w:val="21"/>
        </w:rPr>
        <w:t>2.定期召开安全生产调度会，及时传达中央及地方有关安全生产的精神。</w:t>
      </w:r>
    </w:p>
    <w:p>
      <w:pPr>
        <w:spacing w:line="360" w:lineRule="auto"/>
        <w:ind w:firstLine="420" w:firstLineChars="200"/>
        <w:rPr>
          <w:szCs w:val="21"/>
        </w:rPr>
      </w:pPr>
      <w:r>
        <w:rPr>
          <w:rFonts w:hint="eastAsia"/>
          <w:szCs w:val="21"/>
        </w:rPr>
        <w:t>3.对乙方现场操作安全生产检查，监督乙方及时处理发现的各项安全隐患。</w:t>
      </w:r>
    </w:p>
    <w:p>
      <w:pPr>
        <w:spacing w:line="360" w:lineRule="auto"/>
        <w:ind w:firstLine="420" w:firstLineChars="200"/>
        <w:rPr>
          <w:szCs w:val="21"/>
        </w:rPr>
      </w:pPr>
      <w:r>
        <w:rPr>
          <w:rFonts w:hint="eastAsia"/>
          <w:szCs w:val="21"/>
        </w:rPr>
        <w:t>二、乙方职责</w:t>
      </w:r>
    </w:p>
    <w:p>
      <w:pPr>
        <w:spacing w:line="360" w:lineRule="auto"/>
        <w:ind w:firstLine="420" w:firstLineChars="200"/>
        <w:rPr>
          <w:szCs w:val="21"/>
        </w:rPr>
      </w:pPr>
      <w:r>
        <w:rPr>
          <w:rFonts w:hint="eastAsia"/>
          <w:szCs w:val="21"/>
        </w:rPr>
        <w:t>1.严格遵守国家有关安全生产的法律法规等有关安全生产的规定，认真执行工程承包合同中的有关安全要求。</w:t>
      </w:r>
    </w:p>
    <w:p>
      <w:pPr>
        <w:spacing w:line="360" w:lineRule="auto"/>
        <w:ind w:firstLine="420" w:firstLineChars="200"/>
        <w:rPr>
          <w:szCs w:val="21"/>
        </w:rPr>
      </w:pPr>
      <w:r>
        <w:rPr>
          <w:rFonts w:hint="eastAsia"/>
          <w:szCs w:val="21"/>
        </w:rPr>
        <w:t>2.坚持“安全第一、预防为主</w:t>
      </w:r>
      <w:r>
        <w:rPr>
          <w:rFonts w:hint="eastAsia"/>
          <w:szCs w:val="21"/>
          <w:lang w:eastAsia="zh-CN"/>
        </w:rPr>
        <w:t>、综合治理</w:t>
      </w:r>
      <w:r>
        <w:rPr>
          <w:rFonts w:hint="eastAsia"/>
          <w:szCs w:val="21"/>
        </w:rPr>
        <w:t>”，加强安全生产宣传教育，增强全员安全生产意识，指定兼职安全检查人员。工作人员必须熟悉和遵守本条款的各项规定，做到生产与安全工作同时计划、布置、检查、总结和评比。</w:t>
      </w:r>
    </w:p>
    <w:p>
      <w:pPr>
        <w:spacing w:line="360" w:lineRule="auto"/>
        <w:ind w:firstLine="420" w:firstLineChars="200"/>
        <w:rPr>
          <w:szCs w:val="21"/>
        </w:rPr>
      </w:pPr>
      <w:r>
        <w:rPr>
          <w:rFonts w:hint="eastAsia"/>
          <w:szCs w:val="21"/>
        </w:rPr>
        <w:t>3.建立安全责任制。从项目负责人到其他人员（包括临时雇请的民工）的安全生产管理系统必须做到纵向到底，一环不漏；人员的安全生产责任制做到横向到边，人人有责。 控制项目负责人是安全生产的第一责任人，负责所有员工的安全和治安保卫工作及预防事故的发生，有权按有关规定发布指令，并采取保护性措施防止事故发生。</w:t>
      </w:r>
    </w:p>
    <w:p>
      <w:pPr>
        <w:spacing w:line="360" w:lineRule="auto"/>
        <w:ind w:firstLine="420" w:firstLineChars="200"/>
        <w:rPr>
          <w:szCs w:val="21"/>
        </w:rPr>
      </w:pPr>
      <w:r>
        <w:rPr>
          <w:rFonts w:hint="eastAsia"/>
          <w:szCs w:val="21"/>
        </w:rPr>
        <w:t>4.乙方在任何时候都应采取各种合理的预防措施，防止工作人员发生任何违法、违禁、暴力或妨碍治安的行为。</w:t>
      </w:r>
    </w:p>
    <w:p>
      <w:pPr>
        <w:spacing w:line="360" w:lineRule="auto"/>
        <w:ind w:firstLine="420" w:firstLineChars="200"/>
        <w:rPr>
          <w:szCs w:val="21"/>
        </w:rPr>
      </w:pPr>
      <w:r>
        <w:rPr>
          <w:rFonts w:hint="eastAsia"/>
          <w:szCs w:val="21"/>
        </w:rPr>
        <w:t>5.乙方参加项目实施的人员，必须接受安全技术教育，熟知和遵守生产过程中的安全技术操作规程。生产、施工现场出现违反安全的操作，项目负责人必须承担管理责任。</w:t>
      </w:r>
    </w:p>
    <w:p>
      <w:pPr>
        <w:spacing w:line="360" w:lineRule="auto"/>
        <w:ind w:firstLine="420" w:firstLineChars="200"/>
        <w:rPr>
          <w:szCs w:val="21"/>
        </w:rPr>
      </w:pPr>
      <w:r>
        <w:rPr>
          <w:rFonts w:hint="eastAsia"/>
          <w:szCs w:val="21"/>
        </w:rPr>
        <w:t>6.所有仪器设备和高空作业的设备均应定期检查，并有安全员的签字记录，保证其经常处于完好状态；不合格的仪器设备和劳动保护用品严禁使用。高空作业时应严格遵守高空作业的安全守则。</w:t>
      </w:r>
    </w:p>
    <w:p>
      <w:pPr>
        <w:spacing w:line="360" w:lineRule="auto"/>
        <w:ind w:firstLine="420" w:firstLineChars="200"/>
        <w:rPr>
          <w:szCs w:val="21"/>
        </w:rPr>
      </w:pPr>
      <w:r>
        <w:rPr>
          <w:rFonts w:hint="eastAsia"/>
          <w:szCs w:val="21"/>
        </w:rPr>
        <w:t>7.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pPr>
        <w:spacing w:line="360" w:lineRule="auto"/>
        <w:ind w:firstLine="420" w:firstLineChars="200"/>
        <w:rPr>
          <w:szCs w:val="21"/>
        </w:rPr>
      </w:pPr>
      <w:r>
        <w:rPr>
          <w:rFonts w:hint="eastAsia"/>
          <w:szCs w:val="21"/>
        </w:rPr>
        <w:t>8.乙方的所有安全事故、损失均由乙方自行负责。</w:t>
      </w:r>
    </w:p>
    <w:p>
      <w:pPr>
        <w:spacing w:line="360" w:lineRule="auto"/>
        <w:ind w:firstLine="420" w:firstLineChars="200"/>
        <w:rPr>
          <w:szCs w:val="21"/>
        </w:rPr>
      </w:pPr>
      <w:r>
        <w:rPr>
          <w:rFonts w:hint="eastAsia"/>
          <w:szCs w:val="21"/>
        </w:rPr>
        <w:t>三、违约责任：</w:t>
      </w:r>
    </w:p>
    <w:p>
      <w:pPr>
        <w:spacing w:line="360" w:lineRule="auto"/>
        <w:ind w:firstLine="420" w:firstLineChars="200"/>
        <w:rPr>
          <w:szCs w:val="21"/>
        </w:rPr>
      </w:pPr>
      <w:r>
        <w:rPr>
          <w:rFonts w:hint="eastAsia"/>
          <w:szCs w:val="21"/>
        </w:rPr>
        <w:t>如因甲方或乙方违约造成安全事故，将依法追究责任。</w:t>
      </w:r>
    </w:p>
    <w:p>
      <w:pPr>
        <w:numPr>
          <w:ilvl w:val="0"/>
          <w:numId w:val="19"/>
        </w:numPr>
        <w:autoSpaceDE w:val="0"/>
        <w:autoSpaceDN w:val="0"/>
        <w:spacing w:line="360" w:lineRule="auto"/>
        <w:ind w:firstLine="420" w:firstLineChars="200"/>
        <w:jc w:val="left"/>
        <w:rPr>
          <w:szCs w:val="21"/>
        </w:rPr>
      </w:pPr>
      <w:r>
        <w:rPr>
          <w:rFonts w:hint="eastAsia"/>
          <w:szCs w:val="21"/>
        </w:rPr>
        <w:t>本合同正本4份，甲、乙方各2份；副本4份，甲、乙方各2份。</w:t>
      </w:r>
    </w:p>
    <w:p>
      <w:pPr>
        <w:spacing w:line="360" w:lineRule="auto"/>
        <w:ind w:firstLine="420" w:firstLineChars="200"/>
        <w:rPr>
          <w:szCs w:val="21"/>
        </w:rPr>
      </w:pPr>
      <w:r>
        <w:rPr>
          <w:rFonts w:hint="eastAsia"/>
          <w:szCs w:val="21"/>
        </w:rPr>
        <w:t>五、由双方法定代表人或其委托代理人签署并加盖单位章后生效，至合同费用结清为止失效。</w:t>
      </w:r>
    </w:p>
    <w:p>
      <w:pPr>
        <w:spacing w:line="360" w:lineRule="auto"/>
        <w:ind w:firstLine="420" w:firstLineChars="200"/>
        <w:rPr>
          <w:szCs w:val="21"/>
        </w:rPr>
      </w:pPr>
    </w:p>
    <w:p>
      <w:pPr>
        <w:tabs>
          <w:tab w:val="left" w:pos="5040"/>
        </w:tabs>
        <w:spacing w:line="360" w:lineRule="auto"/>
        <w:ind w:firstLine="420" w:firstLineChars="200"/>
        <w:rPr>
          <w:szCs w:val="21"/>
        </w:rPr>
      </w:pPr>
      <w:r>
        <w:rPr>
          <w:rFonts w:hint="eastAsia"/>
          <w:szCs w:val="21"/>
        </w:rPr>
        <w:t>甲方：</w:t>
      </w:r>
      <w:r>
        <w:rPr>
          <w:rFonts w:hint="eastAsia"/>
          <w:szCs w:val="21"/>
          <w:u w:val="single"/>
        </w:rPr>
        <w:t xml:space="preserve">             （盖单位章）</w:t>
      </w:r>
      <w:r>
        <w:rPr>
          <w:rFonts w:hint="eastAsia"/>
          <w:szCs w:val="21"/>
        </w:rPr>
        <w:t xml:space="preserve">                 乙方：</w:t>
      </w:r>
      <w:r>
        <w:rPr>
          <w:rFonts w:hint="eastAsia"/>
          <w:szCs w:val="21"/>
          <w:u w:val="single"/>
        </w:rPr>
        <w:t xml:space="preserve">            （盖单位章）</w:t>
      </w:r>
    </w:p>
    <w:p>
      <w:pPr>
        <w:spacing w:line="360" w:lineRule="auto"/>
        <w:ind w:firstLine="420" w:firstLineChars="200"/>
        <w:rPr>
          <w:szCs w:val="21"/>
        </w:rPr>
      </w:pPr>
    </w:p>
    <w:p>
      <w:pPr>
        <w:spacing w:line="360" w:lineRule="auto"/>
        <w:ind w:firstLine="420" w:firstLineChars="200"/>
        <w:rPr>
          <w:szCs w:val="21"/>
        </w:rPr>
      </w:pPr>
      <w:r>
        <w:rPr>
          <w:rFonts w:hint="eastAsia"/>
          <w:szCs w:val="21"/>
        </w:rPr>
        <w:t>法定代表人或                                    法定代表人或</w:t>
      </w:r>
    </w:p>
    <w:p>
      <w:pPr>
        <w:spacing w:line="360" w:lineRule="auto"/>
        <w:ind w:firstLine="420" w:firstLineChars="200"/>
        <w:rPr>
          <w:szCs w:val="21"/>
        </w:rPr>
      </w:pPr>
      <w:r>
        <w:rPr>
          <w:rFonts w:hint="eastAsia"/>
          <w:szCs w:val="21"/>
        </w:rPr>
        <w:t>其委托代理人：</w:t>
      </w:r>
      <w:r>
        <w:rPr>
          <w:rFonts w:hint="eastAsia"/>
          <w:szCs w:val="21"/>
          <w:u w:val="single"/>
        </w:rPr>
        <w:t xml:space="preserve">     </w:t>
      </w:r>
      <w:r>
        <w:rPr>
          <w:rFonts w:hint="eastAsia"/>
          <w:szCs w:val="21"/>
        </w:rPr>
        <w:t>（签字）                     其委托代理人：</w:t>
      </w:r>
      <w:r>
        <w:rPr>
          <w:rFonts w:hint="eastAsia"/>
          <w:szCs w:val="21"/>
          <w:u w:val="single"/>
        </w:rPr>
        <w:t xml:space="preserve">      </w:t>
      </w:r>
      <w:r>
        <w:rPr>
          <w:rFonts w:hint="eastAsia"/>
          <w:szCs w:val="21"/>
        </w:rPr>
        <w:t>（签字）</w:t>
      </w:r>
    </w:p>
    <w:p>
      <w:pPr>
        <w:spacing w:line="360" w:lineRule="auto"/>
        <w:ind w:firstLine="420" w:firstLineChars="200"/>
        <w:rPr>
          <w:szCs w:val="21"/>
        </w:rPr>
      </w:pPr>
      <w:r>
        <w:rPr>
          <w:rFonts w:hint="eastAsia"/>
          <w:szCs w:val="21"/>
        </w:rPr>
        <w:t>日期：     年   月   日                         日期：    年   月   日</w:t>
      </w:r>
    </w:p>
    <w:p>
      <w:pPr>
        <w:spacing w:line="360" w:lineRule="exact"/>
        <w:ind w:firstLine="420" w:firstLineChars="200"/>
        <w:rPr>
          <w:szCs w:val="21"/>
        </w:rPr>
      </w:pPr>
    </w:p>
    <w:p>
      <w:pPr>
        <w:pStyle w:val="20"/>
        <w:outlineLvl w:val="9"/>
        <w:rPr>
          <w:rFonts w:ascii="宋体" w:hAnsi="宋体"/>
          <w:sz w:val="21"/>
          <w:szCs w:val="21"/>
        </w:rPr>
      </w:pPr>
      <w:r>
        <w:rPr>
          <w:rFonts w:hint="eastAsia" w:ascii="宋体" w:hAnsi="宋体"/>
          <w:sz w:val="21"/>
          <w:szCs w:val="21"/>
        </w:rPr>
        <w:br w:type="page"/>
      </w:r>
    </w:p>
    <w:p>
      <w:pPr>
        <w:tabs>
          <w:tab w:val="left" w:pos="4500"/>
          <w:tab w:val="left" w:pos="4680"/>
        </w:tabs>
        <w:spacing w:line="360" w:lineRule="exact"/>
        <w:ind w:firstLine="422" w:firstLineChars="200"/>
        <w:rPr>
          <w:szCs w:val="21"/>
        </w:rPr>
      </w:pPr>
      <w:r>
        <w:rPr>
          <w:rFonts w:hint="eastAsia"/>
          <w:b/>
          <w:szCs w:val="21"/>
        </w:rPr>
        <w:t>附件4：工程质量保修书（格式）</w:t>
      </w:r>
    </w:p>
    <w:p>
      <w:pPr>
        <w:spacing w:line="360" w:lineRule="exact"/>
        <w:ind w:firstLine="482" w:firstLineChars="200"/>
        <w:jc w:val="center"/>
        <w:rPr>
          <w:b/>
          <w:bCs/>
          <w:sz w:val="24"/>
          <w:szCs w:val="24"/>
        </w:rPr>
      </w:pPr>
      <w:bookmarkStart w:id="121" w:name="_Toc30226"/>
    </w:p>
    <w:p>
      <w:pPr>
        <w:spacing w:line="360" w:lineRule="exact"/>
        <w:ind w:firstLine="482" w:firstLineChars="200"/>
        <w:jc w:val="center"/>
        <w:rPr>
          <w:b/>
          <w:bCs/>
          <w:sz w:val="24"/>
          <w:szCs w:val="24"/>
        </w:rPr>
      </w:pPr>
      <w:r>
        <w:rPr>
          <w:rFonts w:hint="eastAsia"/>
          <w:b/>
          <w:bCs/>
          <w:sz w:val="24"/>
          <w:szCs w:val="24"/>
        </w:rPr>
        <w:t>质 量 保 修 书</w:t>
      </w:r>
      <w:bookmarkEnd w:id="121"/>
    </w:p>
    <w:p>
      <w:pPr>
        <w:spacing w:line="360" w:lineRule="auto"/>
        <w:ind w:firstLine="422" w:firstLineChars="200"/>
        <w:rPr>
          <w:b/>
          <w:szCs w:val="21"/>
        </w:rPr>
      </w:pPr>
      <w:r>
        <w:rPr>
          <w:rFonts w:hint="eastAsia"/>
          <w:b/>
          <w:szCs w:val="21"/>
        </w:rPr>
        <w:t>甲方：</w:t>
      </w:r>
      <w:r>
        <w:rPr>
          <w:rFonts w:hint="eastAsia"/>
          <w:b/>
          <w:szCs w:val="21"/>
          <w:u w:val="single"/>
        </w:rPr>
        <w:t xml:space="preserve">                          　　                        </w:t>
      </w:r>
    </w:p>
    <w:p>
      <w:pPr>
        <w:spacing w:line="360" w:lineRule="auto"/>
        <w:ind w:firstLine="422" w:firstLineChars="200"/>
        <w:rPr>
          <w:b/>
          <w:szCs w:val="21"/>
          <w:u w:val="single"/>
        </w:rPr>
      </w:pPr>
      <w:r>
        <w:rPr>
          <w:rFonts w:hint="eastAsia"/>
          <w:b/>
          <w:szCs w:val="21"/>
        </w:rPr>
        <w:t>乙方：</w:t>
      </w:r>
      <w:r>
        <w:rPr>
          <w:rFonts w:hint="eastAsia"/>
          <w:b/>
          <w:szCs w:val="21"/>
          <w:u w:val="single"/>
        </w:rPr>
        <w:t xml:space="preserve">                              　　                    </w:t>
      </w:r>
    </w:p>
    <w:p>
      <w:pPr>
        <w:spacing w:line="360" w:lineRule="auto"/>
        <w:ind w:firstLine="420" w:firstLineChars="200"/>
        <w:rPr>
          <w:szCs w:val="21"/>
        </w:rPr>
      </w:pPr>
      <w:r>
        <w:rPr>
          <w:rFonts w:hint="eastAsia"/>
          <w:szCs w:val="21"/>
        </w:rPr>
        <w:t>为保证</w:t>
      </w:r>
      <w:r>
        <w:rPr>
          <w:rFonts w:hint="eastAsia"/>
          <w:szCs w:val="21"/>
          <w:u w:val="single"/>
        </w:rPr>
        <w:t xml:space="preserve">                         项目</w:t>
      </w:r>
      <w:r>
        <w:rPr>
          <w:rFonts w:hint="eastAsia"/>
          <w:szCs w:val="21"/>
        </w:rPr>
        <w:t>在合理使用期限内正常使用，各方经协商一致签订本质量保修书。乙方在质量保修期内按照有关管理规定及约定承担工程及设备质量保修责任。</w:t>
      </w:r>
    </w:p>
    <w:p>
      <w:pPr>
        <w:spacing w:line="360" w:lineRule="auto"/>
        <w:ind w:firstLine="422" w:firstLineChars="200"/>
        <w:rPr>
          <w:b/>
          <w:szCs w:val="21"/>
        </w:rPr>
      </w:pPr>
      <w:r>
        <w:rPr>
          <w:rFonts w:hint="eastAsia"/>
          <w:b/>
          <w:szCs w:val="21"/>
        </w:rPr>
        <w:t>一、质量保修范围和内容</w:t>
      </w:r>
    </w:p>
    <w:p>
      <w:pPr>
        <w:spacing w:line="360" w:lineRule="auto"/>
        <w:ind w:firstLine="420" w:firstLineChars="200"/>
        <w:rPr>
          <w:szCs w:val="21"/>
          <w:u w:val="single"/>
        </w:rPr>
      </w:pPr>
      <w:r>
        <w:rPr>
          <w:rFonts w:hint="eastAsia"/>
          <w:szCs w:val="21"/>
        </w:rPr>
        <w:t>乙方在质量保修期内，按照有关法律、法规、规章的管理规定和双方约定，承担本工程及设备质量保修责任。具体质量保修范围双方约定如下：</w:t>
      </w:r>
      <w:r>
        <w:rPr>
          <w:rFonts w:hint="eastAsia"/>
          <w:szCs w:val="21"/>
          <w:u w:val="single"/>
        </w:rPr>
        <w:t>合同约定范围的所有项目及变更增加项目。</w:t>
      </w:r>
    </w:p>
    <w:p>
      <w:pPr>
        <w:spacing w:line="360" w:lineRule="auto"/>
        <w:ind w:firstLine="422" w:firstLineChars="200"/>
        <w:rPr>
          <w:b/>
          <w:szCs w:val="21"/>
        </w:rPr>
      </w:pPr>
      <w:r>
        <w:rPr>
          <w:rFonts w:hint="eastAsia"/>
          <w:b/>
          <w:szCs w:val="21"/>
        </w:rPr>
        <w:t>二、质量保修期</w:t>
      </w:r>
    </w:p>
    <w:p>
      <w:pPr>
        <w:spacing w:line="360" w:lineRule="auto"/>
        <w:ind w:firstLine="420" w:firstLineChars="200"/>
        <w:rPr>
          <w:szCs w:val="21"/>
        </w:rPr>
      </w:pPr>
      <w:r>
        <w:rPr>
          <w:rFonts w:hint="eastAsia"/>
          <w:szCs w:val="21"/>
        </w:rPr>
        <w:t>质量保证期为</w:t>
      </w:r>
      <w:r>
        <w:rPr>
          <w:rFonts w:hint="eastAsia"/>
          <w:szCs w:val="21"/>
          <w:u w:val="single"/>
        </w:rPr>
        <w:t xml:space="preserve">           </w:t>
      </w:r>
      <w:r>
        <w:rPr>
          <w:rFonts w:hint="eastAsia"/>
          <w:szCs w:val="21"/>
        </w:rPr>
        <w:t xml:space="preserve"> ，自医院项目竣工验收合格之日起算。</w:t>
      </w:r>
    </w:p>
    <w:p>
      <w:pPr>
        <w:spacing w:line="360" w:lineRule="auto"/>
        <w:ind w:firstLine="422" w:firstLineChars="200"/>
        <w:rPr>
          <w:b/>
          <w:szCs w:val="21"/>
        </w:rPr>
      </w:pPr>
      <w:r>
        <w:rPr>
          <w:rFonts w:hint="eastAsia"/>
          <w:b/>
          <w:szCs w:val="21"/>
        </w:rPr>
        <w:t>三、质量保修责任</w:t>
      </w:r>
    </w:p>
    <w:p>
      <w:pPr>
        <w:spacing w:line="360" w:lineRule="auto"/>
        <w:ind w:firstLine="420" w:firstLineChars="200"/>
        <w:rPr>
          <w:szCs w:val="21"/>
        </w:rPr>
      </w:pPr>
      <w:r>
        <w:rPr>
          <w:rFonts w:hint="eastAsia"/>
          <w:szCs w:val="21"/>
        </w:rPr>
        <w:t>1．在质量保证期之内，乙方对由于产品设计、工艺、材料、配套件的缺陷及其安装质量而造成的任何产品质量问题或故障负全部责任。</w:t>
      </w:r>
    </w:p>
    <w:p>
      <w:pPr>
        <w:spacing w:line="360" w:lineRule="auto"/>
        <w:ind w:firstLine="420" w:firstLineChars="200"/>
        <w:rPr>
          <w:szCs w:val="21"/>
        </w:rPr>
      </w:pPr>
      <w:r>
        <w:rPr>
          <w:rFonts w:hint="eastAsia"/>
          <w:szCs w:val="21"/>
        </w:rPr>
        <w:t>2．属于保修范围、内容的项目，乙方应当在接到保修通知起2小时内做出响应并提出解决办法，在必须到现场维护的情况下，在接到通知4小时内赶到现场进行维修，并提供不间断的服务直到结束。</w:t>
      </w:r>
    </w:p>
    <w:p>
      <w:pPr>
        <w:spacing w:line="360" w:lineRule="auto"/>
        <w:ind w:firstLine="420" w:firstLineChars="200"/>
        <w:rPr>
          <w:szCs w:val="21"/>
        </w:rPr>
      </w:pPr>
      <w:r>
        <w:rPr>
          <w:rFonts w:hint="eastAsia"/>
          <w:szCs w:val="21"/>
        </w:rPr>
        <w:t>3．如设备暂时不能修复，乙方应做好故障设备的相关的围挡保护及明显的故障告示通知，直至故障设备完全修复为止。</w:t>
      </w:r>
    </w:p>
    <w:p>
      <w:pPr>
        <w:spacing w:line="360" w:lineRule="auto"/>
        <w:ind w:firstLine="420" w:firstLineChars="200"/>
        <w:rPr>
          <w:szCs w:val="21"/>
        </w:rPr>
      </w:pPr>
      <w:r>
        <w:rPr>
          <w:rFonts w:hint="eastAsia"/>
          <w:szCs w:val="21"/>
        </w:rPr>
        <w:t xml:space="preserve">4.乙方不在约定期限内派人保修的，甲方可以委托他人修理，由此产生的费用从质量保证金内扣除。 </w:t>
      </w:r>
    </w:p>
    <w:p>
      <w:pPr>
        <w:spacing w:line="360" w:lineRule="auto"/>
        <w:ind w:firstLine="420" w:firstLineChars="200"/>
        <w:rPr>
          <w:szCs w:val="21"/>
        </w:rPr>
      </w:pPr>
      <w:r>
        <w:rPr>
          <w:rFonts w:hint="eastAsia"/>
          <w:szCs w:val="21"/>
        </w:rPr>
        <w:t>5.每次维修及维保好后，乙方需一式两份报告给甲方，包括故障原因，解决措施（或维保内容），完成修理（或维保）所费时间及恢复正常运行日期。</w:t>
      </w:r>
    </w:p>
    <w:p>
      <w:pPr>
        <w:spacing w:line="360" w:lineRule="auto"/>
        <w:ind w:firstLine="420" w:firstLineChars="200"/>
        <w:rPr>
          <w:szCs w:val="21"/>
        </w:rPr>
      </w:pPr>
      <w:r>
        <w:rPr>
          <w:rFonts w:hint="eastAsia"/>
          <w:szCs w:val="21"/>
        </w:rPr>
        <w:t>6.乙方如未按上述要求履行保修义务，每违反一次，从质量保证金中扣除违约金壹万元整（10000.00元）；</w:t>
      </w:r>
    </w:p>
    <w:p>
      <w:pPr>
        <w:spacing w:line="360" w:lineRule="auto"/>
        <w:ind w:firstLine="420" w:firstLineChars="200"/>
        <w:rPr>
          <w:szCs w:val="21"/>
        </w:rPr>
      </w:pPr>
      <w:r>
        <w:rPr>
          <w:rFonts w:hint="eastAsia"/>
          <w:szCs w:val="21"/>
        </w:rPr>
        <w:t>7.在质保期结束时，须由专业工程师对设备进行另一次测试，任何故障须由乙方自费解决并取得甲方的同意。</w:t>
      </w:r>
    </w:p>
    <w:p>
      <w:pPr>
        <w:spacing w:line="360" w:lineRule="auto"/>
        <w:ind w:firstLine="420" w:firstLineChars="200"/>
        <w:rPr>
          <w:szCs w:val="21"/>
        </w:rPr>
      </w:pPr>
      <w:r>
        <w:rPr>
          <w:rFonts w:hint="eastAsia"/>
          <w:szCs w:val="21"/>
        </w:rPr>
        <w:t>8.在质保期结束前，乙方需按照设备检验检测要求对设备进行一次检验，并取得相关管理部门颁发的检验合格证，相关费用由乙方承担。</w:t>
      </w:r>
    </w:p>
    <w:p>
      <w:pPr>
        <w:spacing w:line="360" w:lineRule="auto"/>
        <w:ind w:firstLine="420" w:firstLineChars="200"/>
        <w:rPr>
          <w:szCs w:val="21"/>
        </w:rPr>
      </w:pPr>
      <w:r>
        <w:rPr>
          <w:rFonts w:hint="eastAsia"/>
          <w:szCs w:val="21"/>
        </w:rPr>
        <w:t>9.保修费用由乙方承担。</w:t>
      </w:r>
    </w:p>
    <w:p>
      <w:pPr>
        <w:spacing w:line="360" w:lineRule="auto"/>
        <w:ind w:firstLine="422" w:firstLineChars="200"/>
        <w:rPr>
          <w:b/>
          <w:szCs w:val="21"/>
        </w:rPr>
      </w:pPr>
      <w:r>
        <w:rPr>
          <w:rFonts w:hint="eastAsia"/>
          <w:b/>
          <w:szCs w:val="21"/>
        </w:rPr>
        <w:t>四、质量保证金的支付</w:t>
      </w:r>
    </w:p>
    <w:p>
      <w:pPr>
        <w:spacing w:line="360" w:lineRule="auto"/>
        <w:ind w:firstLine="420" w:firstLineChars="200"/>
        <w:rPr>
          <w:szCs w:val="21"/>
          <w:u w:val="single"/>
        </w:rPr>
      </w:pPr>
      <w:r>
        <w:rPr>
          <w:rFonts w:hint="eastAsia"/>
          <w:szCs w:val="21"/>
        </w:rPr>
        <w:t>本项目质量保证金为结算总价款的</w:t>
      </w:r>
      <w:r>
        <w:rPr>
          <w:rFonts w:hint="eastAsia"/>
          <w:szCs w:val="21"/>
          <w:highlight w:val="none"/>
          <w:u w:val="single"/>
          <w:lang w:val="en-US" w:eastAsia="zh-CN"/>
        </w:rPr>
        <w:t>1</w:t>
      </w:r>
      <w:r>
        <w:rPr>
          <w:rFonts w:hint="eastAsia"/>
          <w:szCs w:val="21"/>
          <w:highlight w:val="none"/>
          <w:u w:val="single"/>
        </w:rPr>
        <w:t>.5</w:t>
      </w:r>
      <w:r>
        <w:rPr>
          <w:rFonts w:hint="eastAsia"/>
          <w:szCs w:val="21"/>
          <w:highlight w:val="none"/>
        </w:rPr>
        <w:t>%，</w:t>
      </w:r>
      <w:r>
        <w:rPr>
          <w:rFonts w:hint="eastAsia"/>
          <w:szCs w:val="21"/>
        </w:rPr>
        <w:t>在本项目工程竣工结算时一次性扣留。质量保证金返还时</w:t>
      </w:r>
      <w:r>
        <w:rPr>
          <w:rFonts w:hint="eastAsia"/>
          <w:szCs w:val="21"/>
          <w:u w:val="single"/>
        </w:rPr>
        <w:t>不计银行利息。</w:t>
      </w:r>
    </w:p>
    <w:p>
      <w:pPr>
        <w:spacing w:line="360" w:lineRule="auto"/>
        <w:ind w:firstLine="422" w:firstLineChars="200"/>
        <w:rPr>
          <w:b/>
          <w:szCs w:val="21"/>
        </w:rPr>
      </w:pPr>
      <w:r>
        <w:rPr>
          <w:rFonts w:hint="eastAsia"/>
          <w:b/>
          <w:szCs w:val="21"/>
        </w:rPr>
        <w:t>五、质量保</w:t>
      </w:r>
      <w:r>
        <w:rPr>
          <w:rFonts w:hint="eastAsia"/>
          <w:szCs w:val="21"/>
        </w:rPr>
        <w:t>证</w:t>
      </w:r>
      <w:r>
        <w:rPr>
          <w:rFonts w:hint="eastAsia"/>
          <w:b/>
          <w:szCs w:val="21"/>
        </w:rPr>
        <w:t>金的返还</w:t>
      </w:r>
    </w:p>
    <w:p>
      <w:pPr>
        <w:spacing w:line="360" w:lineRule="auto"/>
        <w:ind w:firstLine="420" w:firstLineChars="200"/>
        <w:rPr>
          <w:szCs w:val="21"/>
          <w:u w:val="single"/>
        </w:rPr>
      </w:pPr>
      <w:r>
        <w:rPr>
          <w:rFonts w:hint="eastAsia"/>
          <w:szCs w:val="21"/>
          <w:u w:val="single"/>
        </w:rPr>
        <w:t>质量保修期满后，经甲组织验收，如合同约定范围的所有项目及变更增加项目无任何产品质量问题或故障，甲方在扣除相应的维修保养违约金和相应赔偿金（如有）后，28日历天内返还剩余质量保</w:t>
      </w:r>
      <w:r>
        <w:rPr>
          <w:rFonts w:hint="eastAsia"/>
          <w:szCs w:val="21"/>
        </w:rPr>
        <w:t>证</w:t>
      </w:r>
      <w:r>
        <w:rPr>
          <w:rFonts w:hint="eastAsia"/>
          <w:szCs w:val="21"/>
          <w:u w:val="single"/>
        </w:rPr>
        <w:t>金（不计息）。</w:t>
      </w:r>
    </w:p>
    <w:p>
      <w:pPr>
        <w:spacing w:line="360" w:lineRule="auto"/>
        <w:ind w:firstLine="422" w:firstLineChars="200"/>
        <w:rPr>
          <w:b/>
          <w:szCs w:val="21"/>
        </w:rPr>
      </w:pPr>
      <w:r>
        <w:rPr>
          <w:rFonts w:hint="eastAsia"/>
          <w:b/>
          <w:szCs w:val="21"/>
        </w:rPr>
        <w:t>六、其他</w:t>
      </w:r>
    </w:p>
    <w:p>
      <w:pPr>
        <w:spacing w:line="360" w:lineRule="auto"/>
        <w:ind w:firstLine="420" w:firstLineChars="200"/>
        <w:rPr>
          <w:szCs w:val="21"/>
          <w:u w:val="single"/>
        </w:rPr>
      </w:pPr>
      <w:r>
        <w:rPr>
          <w:rFonts w:hint="eastAsia"/>
          <w:szCs w:val="21"/>
        </w:rPr>
        <w:t>各方约定的其他工程质量保修事项：</w:t>
      </w:r>
      <w:r>
        <w:rPr>
          <w:rFonts w:hint="eastAsia"/>
          <w:szCs w:val="21"/>
          <w:u w:val="single"/>
        </w:rPr>
        <w:t xml:space="preserve"> 按有关规定执行。</w:t>
      </w:r>
    </w:p>
    <w:p>
      <w:pPr>
        <w:spacing w:line="360" w:lineRule="auto"/>
        <w:ind w:firstLine="420" w:firstLineChars="200"/>
        <w:rPr>
          <w:szCs w:val="21"/>
        </w:rPr>
      </w:pPr>
    </w:p>
    <w:p>
      <w:pPr>
        <w:spacing w:line="360" w:lineRule="auto"/>
        <w:ind w:firstLine="420" w:firstLineChars="200"/>
        <w:rPr>
          <w:szCs w:val="21"/>
        </w:rPr>
      </w:pPr>
      <w:r>
        <w:rPr>
          <w:rFonts w:hint="eastAsia"/>
          <w:szCs w:val="21"/>
        </w:rPr>
        <w:t>甲方：</w:t>
      </w:r>
      <w:r>
        <w:rPr>
          <w:rFonts w:hint="eastAsia"/>
          <w:szCs w:val="21"/>
          <w:u w:val="single"/>
        </w:rPr>
        <w:t xml:space="preserve">         </w:t>
      </w:r>
      <w:r>
        <w:rPr>
          <w:rFonts w:hint="eastAsia"/>
          <w:szCs w:val="21"/>
        </w:rPr>
        <w:t xml:space="preserve">（盖章）　　　　　　　　　　　　 </w:t>
      </w:r>
    </w:p>
    <w:p>
      <w:pPr>
        <w:pStyle w:val="23"/>
        <w:shd w:val="clear" w:color="auto" w:fill="FFFFFF"/>
        <w:spacing w:before="0" w:beforeAutospacing="0" w:after="0" w:afterAutospacing="0" w:line="360" w:lineRule="auto"/>
        <w:ind w:firstLine="420" w:firstLineChars="200"/>
        <w:rPr>
          <w:sz w:val="21"/>
          <w:szCs w:val="21"/>
        </w:rPr>
      </w:pPr>
      <w:r>
        <w:rPr>
          <w:rFonts w:hint="eastAsia"/>
          <w:sz w:val="21"/>
          <w:szCs w:val="21"/>
        </w:rPr>
        <w:t xml:space="preserve">法定代表人或授权代表：　　　　　　　　　　　 </w:t>
      </w:r>
    </w:p>
    <w:p>
      <w:pPr>
        <w:pStyle w:val="23"/>
        <w:shd w:val="clear" w:color="auto" w:fill="FFFFFF"/>
        <w:spacing w:before="0" w:beforeAutospacing="0" w:after="0" w:afterAutospacing="0" w:line="360" w:lineRule="auto"/>
        <w:ind w:firstLine="420" w:firstLineChars="200"/>
        <w:rPr>
          <w:sz w:val="21"/>
          <w:szCs w:val="21"/>
        </w:rPr>
      </w:pPr>
      <w:r>
        <w:rPr>
          <w:rFonts w:hint="eastAsia"/>
          <w:sz w:val="21"/>
          <w:szCs w:val="21"/>
        </w:rPr>
        <w:t xml:space="preserve">地址：　　　　　　　　　　　　　　　　　　　 </w:t>
      </w:r>
    </w:p>
    <w:p>
      <w:pPr>
        <w:spacing w:line="360" w:lineRule="auto"/>
        <w:ind w:firstLine="420" w:firstLineChars="200"/>
        <w:rPr>
          <w:szCs w:val="21"/>
        </w:rPr>
      </w:pPr>
      <w:r>
        <w:rPr>
          <w:rFonts w:hint="eastAsia"/>
          <w:szCs w:val="21"/>
        </w:rPr>
        <w:t>电话：</w:t>
      </w:r>
    </w:p>
    <w:p>
      <w:pPr>
        <w:spacing w:line="360" w:lineRule="auto"/>
        <w:ind w:firstLine="420" w:firstLineChars="200"/>
        <w:rPr>
          <w:szCs w:val="21"/>
        </w:rPr>
      </w:pPr>
    </w:p>
    <w:p>
      <w:pPr>
        <w:spacing w:line="360" w:lineRule="auto"/>
        <w:ind w:firstLine="420" w:firstLineChars="200"/>
        <w:rPr>
          <w:szCs w:val="21"/>
        </w:rPr>
      </w:pPr>
      <w:r>
        <w:rPr>
          <w:rFonts w:hint="eastAsia"/>
          <w:szCs w:val="21"/>
        </w:rPr>
        <w:t>乙方：</w:t>
      </w:r>
      <w:r>
        <w:rPr>
          <w:rFonts w:hint="eastAsia"/>
          <w:szCs w:val="21"/>
          <w:u w:val="single"/>
        </w:rPr>
        <w:t xml:space="preserve">         </w:t>
      </w:r>
      <w:r>
        <w:rPr>
          <w:rFonts w:hint="eastAsia"/>
          <w:szCs w:val="21"/>
        </w:rPr>
        <w:t xml:space="preserve">（盖章）　　　　　　　　　　　　 </w:t>
      </w:r>
    </w:p>
    <w:p>
      <w:pPr>
        <w:pStyle w:val="23"/>
        <w:shd w:val="clear" w:color="auto" w:fill="FFFFFF"/>
        <w:spacing w:before="0" w:beforeAutospacing="0" w:after="0" w:afterAutospacing="0" w:line="360" w:lineRule="auto"/>
        <w:ind w:firstLine="420" w:firstLineChars="200"/>
        <w:rPr>
          <w:sz w:val="21"/>
          <w:szCs w:val="21"/>
        </w:rPr>
      </w:pPr>
      <w:r>
        <w:rPr>
          <w:rFonts w:hint="eastAsia"/>
          <w:sz w:val="21"/>
          <w:szCs w:val="21"/>
        </w:rPr>
        <w:t xml:space="preserve">法定代表人或授权代表：　　　　　　　　　　　 </w:t>
      </w:r>
    </w:p>
    <w:p>
      <w:pPr>
        <w:pStyle w:val="23"/>
        <w:shd w:val="clear" w:color="auto" w:fill="FFFFFF"/>
        <w:spacing w:before="0" w:beforeAutospacing="0" w:after="0" w:afterAutospacing="0" w:line="360" w:lineRule="auto"/>
        <w:ind w:firstLine="420" w:firstLineChars="200"/>
        <w:rPr>
          <w:sz w:val="21"/>
          <w:szCs w:val="21"/>
        </w:rPr>
      </w:pPr>
      <w:r>
        <w:rPr>
          <w:rFonts w:hint="eastAsia"/>
          <w:sz w:val="21"/>
          <w:szCs w:val="21"/>
        </w:rPr>
        <w:t xml:space="preserve">地址：　　　　　　　　　　　　　　　　　　　 </w:t>
      </w:r>
    </w:p>
    <w:p>
      <w:pPr>
        <w:pStyle w:val="23"/>
        <w:shd w:val="clear" w:color="auto" w:fill="FFFFFF"/>
        <w:spacing w:before="0" w:beforeAutospacing="0" w:after="0" w:afterAutospacing="0" w:line="360" w:lineRule="auto"/>
        <w:ind w:firstLine="420" w:firstLineChars="200"/>
        <w:rPr>
          <w:sz w:val="21"/>
          <w:szCs w:val="21"/>
        </w:rPr>
      </w:pPr>
      <w:r>
        <w:rPr>
          <w:rFonts w:hint="eastAsia"/>
          <w:sz w:val="21"/>
          <w:szCs w:val="21"/>
        </w:rPr>
        <w:t xml:space="preserve">电话：　　　　　　　　　　　　　　　　　　　 </w:t>
      </w:r>
    </w:p>
    <w:p>
      <w:pPr>
        <w:pStyle w:val="23"/>
        <w:shd w:val="clear" w:color="auto" w:fill="FFFFFF"/>
        <w:spacing w:before="0" w:beforeAutospacing="0" w:after="0" w:afterAutospacing="0" w:line="360" w:lineRule="exact"/>
        <w:ind w:firstLine="420" w:firstLineChars="200"/>
        <w:rPr>
          <w:sz w:val="21"/>
          <w:szCs w:val="21"/>
        </w:rPr>
      </w:pPr>
      <w:r>
        <w:rPr>
          <w:rFonts w:hint="eastAsia"/>
          <w:sz w:val="21"/>
          <w:szCs w:val="21"/>
        </w:rPr>
        <w:t xml:space="preserve">　　　　　  </w:t>
      </w:r>
    </w:p>
    <w:p>
      <w:pPr>
        <w:spacing w:line="360" w:lineRule="exact"/>
        <w:ind w:firstLine="420" w:firstLineChars="200"/>
        <w:rPr>
          <w:szCs w:val="21"/>
        </w:rPr>
      </w:pPr>
    </w:p>
    <w:p>
      <w:pPr>
        <w:spacing w:line="360" w:lineRule="exact"/>
        <w:ind w:firstLine="400" w:firstLineChars="200"/>
        <w:jc w:val="center"/>
        <w:rPr>
          <w:sz w:val="20"/>
          <w:szCs w:val="20"/>
        </w:rPr>
        <w:sectPr>
          <w:pgSz w:w="11910" w:h="16840"/>
          <w:pgMar w:top="1440" w:right="1134" w:bottom="1440" w:left="1134" w:header="0" w:footer="704" w:gutter="0"/>
          <w:pgNumType w:fmt="decimal"/>
          <w:cols w:space="720" w:num="1"/>
        </w:sect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5"/>
        <w:rPr>
          <w:sz w:val="16"/>
        </w:rPr>
      </w:pPr>
    </w:p>
    <w:p>
      <w:pPr>
        <w:pStyle w:val="2"/>
        <w:spacing w:before="54"/>
        <w:ind w:right="64"/>
      </w:pPr>
      <w:bookmarkStart w:id="122" w:name="第二卷"/>
      <w:bookmarkEnd w:id="122"/>
      <w:bookmarkStart w:id="123" w:name="_Toc5913"/>
      <w:bookmarkStart w:id="124" w:name="_Toc17404"/>
      <w:r>
        <w:rPr>
          <w:rFonts w:hint="eastAsia"/>
          <w:w w:val="95"/>
        </w:rPr>
        <w:t>第二卷</w:t>
      </w:r>
      <w:bookmarkEnd w:id="123"/>
      <w:bookmarkEnd w:id="124"/>
    </w:p>
    <w:p>
      <w:pPr>
        <w:sectPr>
          <w:pgSz w:w="11910" w:h="16840"/>
          <w:pgMar w:top="1440" w:right="1800" w:bottom="1440" w:left="1800" w:header="0" w:footer="913" w:gutter="0"/>
          <w:pgNumType w:fmt="decimal"/>
          <w:cols w:space="720" w:num="1"/>
        </w:sectPr>
      </w:pPr>
    </w:p>
    <w:p>
      <w:pPr>
        <w:pStyle w:val="12"/>
        <w:spacing w:before="1"/>
        <w:rPr>
          <w:sz w:val="24"/>
        </w:rPr>
      </w:pPr>
    </w:p>
    <w:p>
      <w:pPr>
        <w:numPr>
          <w:ilvl w:val="0"/>
          <w:numId w:val="20"/>
        </w:numPr>
        <w:autoSpaceDE w:val="0"/>
        <w:autoSpaceDN w:val="0"/>
        <w:spacing w:line="360" w:lineRule="auto"/>
        <w:ind w:firstLine="389" w:firstLineChars="100"/>
        <w:jc w:val="center"/>
        <w:rPr>
          <w:b/>
          <w:bCs/>
          <w:spacing w:val="14"/>
          <w:sz w:val="36"/>
          <w:szCs w:val="36"/>
        </w:rPr>
      </w:pPr>
      <w:bookmarkStart w:id="125" w:name="第五章__技术部分标准和要求"/>
      <w:bookmarkEnd w:id="125"/>
      <w:bookmarkStart w:id="126" w:name="_Toc6323"/>
      <w:r>
        <w:rPr>
          <w:rFonts w:hint="eastAsia"/>
          <w:b/>
          <w:bCs/>
          <w:spacing w:val="14"/>
          <w:sz w:val="36"/>
          <w:szCs w:val="36"/>
        </w:rPr>
        <w:t>技术标准和要求</w:t>
      </w:r>
      <w:bookmarkEnd w:id="126"/>
    </w:p>
    <w:p>
      <w:pPr>
        <w:keepNext w:val="0"/>
        <w:keepLines w:val="0"/>
        <w:pageBreakBefore w:val="0"/>
        <w:widowControl w:val="0"/>
        <w:numPr>
          <w:ilvl w:val="0"/>
          <w:numId w:val="21"/>
        </w:numPr>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highlight w:val="none"/>
        </w:rPr>
        <w:t>招标范围和内容</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jc w:val="left"/>
        <w:textAlignment w:val="auto"/>
        <w:rPr>
          <w:rFonts w:hint="eastAsia" w:ascii="宋体" w:hAnsi="宋体" w:eastAsia="宋体" w:cs="宋体"/>
          <w:sz w:val="24"/>
          <w:szCs w:val="24"/>
          <w:highlight w:val="cyan"/>
        </w:rPr>
      </w:pPr>
      <w:r>
        <w:rPr>
          <w:rFonts w:hint="eastAsia" w:ascii="宋体" w:hAnsi="宋体" w:eastAsia="宋体" w:cs="宋体"/>
          <w:sz w:val="24"/>
          <w:szCs w:val="24"/>
          <w:highlight w:val="cyan"/>
          <w:lang w:val="en-US" w:eastAsia="zh-CN"/>
        </w:rPr>
        <w:t>包含本项目食堂厨房设备及附属设施的供货、安装、调试和试运行、验收开通、技术服务及培训、售后维修服务以及与工程总承包的协调、配合工作等</w:t>
      </w:r>
      <w:r>
        <w:rPr>
          <w:rFonts w:hint="eastAsia" w:ascii="宋体" w:hAnsi="宋体" w:eastAsia="宋体" w:cs="宋体"/>
          <w:sz w:val="24"/>
          <w:szCs w:val="24"/>
          <w:highlight w:val="cya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jc w:val="left"/>
        <w:textAlignment w:val="auto"/>
        <w:rPr>
          <w:rFonts w:hint="eastAsia" w:ascii="宋体" w:hAnsi="宋体" w:eastAsia="宋体" w:cs="宋体"/>
          <w:sz w:val="24"/>
          <w:szCs w:val="24"/>
          <w:highlight w:val="cyan"/>
          <w:lang w:val="en-US" w:eastAsia="zh-CN"/>
        </w:rPr>
      </w:pPr>
      <w:r>
        <w:rPr>
          <w:rFonts w:hint="eastAsia" w:ascii="宋体" w:hAnsi="宋体" w:eastAsia="宋体" w:cs="宋体"/>
          <w:sz w:val="24"/>
          <w:szCs w:val="24"/>
          <w:highlight w:val="cyan"/>
          <w:lang w:val="en-US" w:eastAsia="zh-CN"/>
        </w:rPr>
        <w:t>具体包括：</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jc w:val="left"/>
        <w:textAlignment w:val="auto"/>
        <w:rPr>
          <w:rFonts w:hint="eastAsia" w:ascii="宋体" w:hAnsi="宋体" w:eastAsia="宋体" w:cs="宋体"/>
          <w:sz w:val="24"/>
          <w:szCs w:val="24"/>
          <w:highlight w:val="cyan"/>
          <w:lang w:val="en-US" w:eastAsia="zh-CN"/>
        </w:rPr>
      </w:pPr>
      <w:r>
        <w:rPr>
          <w:rFonts w:hint="eastAsia" w:ascii="宋体" w:hAnsi="宋体" w:eastAsia="宋体" w:cs="宋体"/>
          <w:sz w:val="24"/>
          <w:szCs w:val="24"/>
          <w:highlight w:val="cyan"/>
          <w:lang w:val="en-US" w:eastAsia="zh-CN"/>
        </w:rPr>
        <w:t>（1）厨房设备明细清单所列厨房设备；</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jc w:val="left"/>
        <w:textAlignment w:val="auto"/>
        <w:rPr>
          <w:rFonts w:hint="eastAsia" w:ascii="宋体" w:hAnsi="宋体" w:eastAsia="宋体" w:cs="宋体"/>
          <w:sz w:val="24"/>
          <w:szCs w:val="24"/>
          <w:highlight w:val="cyan"/>
          <w:lang w:val="en-US" w:eastAsia="zh-CN"/>
        </w:rPr>
      </w:pPr>
      <w:r>
        <w:rPr>
          <w:rFonts w:hint="eastAsia" w:ascii="宋体" w:hAnsi="宋体" w:eastAsia="宋体" w:cs="宋体"/>
          <w:sz w:val="24"/>
          <w:szCs w:val="24"/>
          <w:highlight w:val="cyan"/>
          <w:lang w:val="en-US" w:eastAsia="zh-CN"/>
        </w:rPr>
        <w:t>（2）厨房的排烟汽罩、排烟风管（含井道内）及配套排烟设备在本次招标范围内；暖通空调专业内容不在本次招标范围内；</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jc w:val="left"/>
        <w:textAlignment w:val="auto"/>
        <w:rPr>
          <w:rFonts w:hint="eastAsia" w:ascii="宋体" w:hAnsi="宋体" w:eastAsia="宋体" w:cs="宋体"/>
          <w:sz w:val="24"/>
          <w:szCs w:val="24"/>
          <w:highlight w:val="cyan"/>
          <w:lang w:val="en-US" w:eastAsia="zh-CN"/>
        </w:rPr>
      </w:pPr>
      <w:r>
        <w:rPr>
          <w:rFonts w:hint="eastAsia" w:ascii="宋体" w:hAnsi="宋体" w:eastAsia="宋体" w:cs="宋体"/>
          <w:sz w:val="24"/>
          <w:szCs w:val="24"/>
          <w:highlight w:val="cyan"/>
          <w:lang w:val="en-US" w:eastAsia="zh-CN"/>
        </w:rPr>
        <w:t>（3）厨房区域厨房设备灭火系统在本次招标范围内，其它涉及主体消防内容不在本次招标范围内；</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highlight w:val="cyan"/>
          <w:lang w:val="en-US" w:eastAsia="zh-CN"/>
        </w:rPr>
        <w:t>（4）下列附属配套内容纳入本次招标范围：厨房区域的降板回填、明沟砌筑、明沟防水、明沟瓷砖；预留预埋、设备基础，相关预留孔洞、设备基础、预埋套管、给排水点位、电源点位等均由投标方提供详细图纸，招标方负责实施，预留孔洞封堵由投标方负责实施。</w:t>
      </w:r>
    </w:p>
    <w:p>
      <w:pPr>
        <w:keepNext w:val="0"/>
        <w:keepLines w:val="0"/>
        <w:pageBreakBefore w:val="0"/>
        <w:widowControl w:val="0"/>
        <w:numPr>
          <w:ilvl w:val="0"/>
          <w:numId w:val="21"/>
        </w:numPr>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技术要求</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宋体" w:hAnsi="宋体" w:eastAsia="宋体" w:cs="宋体"/>
          <w:sz w:val="24"/>
          <w:szCs w:val="24"/>
          <w:highlight w:val="cyan"/>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highlight w:val="cyan"/>
          <w:lang w:val="en-US" w:eastAsia="zh-CN"/>
        </w:rPr>
        <w:t>详见设计图纸及招标文件报价清单技术说明。</w:t>
      </w:r>
    </w:p>
    <w:p>
      <w:pPr>
        <w:keepNext w:val="0"/>
        <w:keepLines w:val="0"/>
        <w:pageBreakBefore w:val="0"/>
        <w:widowControl w:val="0"/>
        <w:kinsoku/>
        <w:wordWrap/>
        <w:overflowPunct/>
        <w:topLinePunct w:val="0"/>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、质保期要求</w:t>
      </w:r>
    </w:p>
    <w:p>
      <w:pPr>
        <w:keepNext w:val="0"/>
        <w:keepLines w:val="0"/>
        <w:pageBreakBefore w:val="0"/>
        <w:widowControl w:val="0"/>
        <w:tabs>
          <w:tab w:val="left" w:pos="900"/>
          <w:tab w:val="left" w:pos="1080"/>
        </w:tabs>
        <w:kinsoku/>
        <w:wordWrap/>
        <w:overflowPunct/>
        <w:topLinePunct w:val="0"/>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本项目质保期最少为24个月，自医院项目竣工验收合格之日起算。</w:t>
      </w:r>
    </w:p>
    <w:p>
      <w:pPr>
        <w:keepNext w:val="0"/>
        <w:keepLines w:val="0"/>
        <w:pageBreakBefore w:val="0"/>
        <w:widowControl w:val="0"/>
        <w:numPr>
          <w:ilvl w:val="0"/>
          <w:numId w:val="21"/>
        </w:numPr>
        <w:kinsoku/>
        <w:wordWrap/>
        <w:overflowPunct/>
        <w:topLinePunct w:val="0"/>
        <w:bidi w:val="0"/>
        <w:adjustRightInd/>
        <w:snapToGrid/>
        <w:spacing w:line="360" w:lineRule="auto"/>
        <w:ind w:left="0" w:leftChars="0" w:firstLine="0" w:firstLineChars="0"/>
        <w:jc w:val="left"/>
        <w:textAlignment w:val="auto"/>
        <w:rPr>
          <w:rFonts w:hint="eastAsia"/>
          <w:sz w:val="18"/>
          <w:szCs w:val="18"/>
          <w:lang w:val="en-US" w:eastAsia="zh-CN"/>
        </w:rPr>
      </w:pPr>
      <w:r>
        <w:rPr>
          <w:rFonts w:hint="eastAsia" w:ascii="宋体" w:hAnsi="宋体" w:eastAsia="宋体" w:cs="宋体"/>
          <w:b/>
          <w:bCs/>
          <w:sz w:val="24"/>
          <w:szCs w:val="24"/>
          <w:lang w:val="en-US" w:eastAsia="zh-CN"/>
        </w:rPr>
        <w:t>品牌</w:t>
      </w:r>
    </w:p>
    <w:tbl>
      <w:tblPr>
        <w:tblStyle w:val="28"/>
        <w:tblpPr w:leftFromText="180" w:rightFromText="180" w:vertAnchor="text" w:horzAnchor="page" w:tblpX="1773" w:tblpY="267"/>
        <w:tblOverlap w:val="never"/>
        <w:tblW w:w="8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3196"/>
        <w:gridCol w:w="3273"/>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3196" w:type="dxa"/>
            <w:vAlign w:val="center"/>
          </w:tcPr>
          <w:p>
            <w:pPr>
              <w:pStyle w:val="13"/>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产品名称</w:t>
            </w:r>
          </w:p>
        </w:tc>
        <w:tc>
          <w:tcPr>
            <w:tcW w:w="3273" w:type="dxa"/>
            <w:vAlign w:val="center"/>
          </w:tcPr>
          <w:p>
            <w:pPr>
              <w:pStyle w:val="13"/>
              <w:numPr>
                <w:ilvl w:val="0"/>
                <w:numId w:val="0"/>
              </w:num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推荐品牌或同档次及以上</w:t>
            </w:r>
          </w:p>
        </w:tc>
        <w:tc>
          <w:tcPr>
            <w:tcW w:w="1593" w:type="dxa"/>
            <w:vAlign w:val="center"/>
          </w:tcPr>
          <w:p>
            <w:pPr>
              <w:pStyle w:val="13"/>
              <w:numPr>
                <w:ilvl w:val="0"/>
                <w:numId w:val="0"/>
              </w:num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双温四门高身柜</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海尔/久景/雪宝</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电子秤</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香海/星海/雄衡</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肉丝肉片机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恒联/赛利/正元</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高压花洒龙头</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普飞/君畅/谷德朗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洗地龙头</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普飞/君畅/谷德朗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土豆脱皮机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恒联/恒悦/旭众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刀具消毒柜140</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格琅威特/裕富宝/利高</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全能切菜机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圣托/旭众/昊鹰</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厨房消防系统</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环峰/顺康/安素</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10</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座地式800电磁炒菜机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圣托/鼎龙/名厨</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11</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座地式700电磁炒菜机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圣托/鼎龙/名厨</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12</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摇锅</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圣托/鼎龙/名厨</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13</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压面机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恒联/恒悦/旭众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14</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双动双速和面机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恒联/恒悦/旭众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15</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B30 三功能搅拌机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恒联/恒悦/旭众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16</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电饼铛</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恒联/华美/通信达</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17</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三层六盘电烤箱</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三麦/高比/伯明顿</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单门醒发箱</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三麦/高比/伯明顿</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19</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提拉式洗碗机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20</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垃圾处理器</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油烟净化一体机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艾尔沃克/贺尔曼/合资布鲁雅尔</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22</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电磁单头高背矮汤炉</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圣托/鼎龙/名厨</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23</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冷藏大双门玻璃门高身柜</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海尔/久景/雪宝</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24</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尾部</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25</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中间接驳</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26</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90度转角</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27</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中间接驳</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28</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长龙洗碗机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29</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单池商用超声波洗碗机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超胜/卓汇/德林</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30</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全自动筷子机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筷客/筷快净/雨生</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31</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刷卡机</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乐牛/正元//雄伟</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32</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紫外线消毒灯</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巨光/新亚特/雪莱特</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9" w:type="dxa"/>
            <w:vAlign w:val="center"/>
          </w:tcPr>
          <w:p>
            <w:pPr>
              <w:pStyle w:val="13"/>
              <w:numPr>
                <w:ilvl w:val="0"/>
                <w:numId w:val="0"/>
              </w:num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33</w:t>
            </w:r>
          </w:p>
        </w:tc>
        <w:tc>
          <w:tcPr>
            <w:tcW w:w="3196"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灭蝇灯</w:t>
            </w:r>
          </w:p>
        </w:tc>
        <w:tc>
          <w:tcPr>
            <w:tcW w:w="3273" w:type="dxa"/>
            <w:vAlign w:val="center"/>
          </w:tcPr>
          <w:p>
            <w:pPr>
              <w:pStyle w:val="13"/>
              <w:numPr>
                <w:ilvl w:val="0"/>
                <w:numId w:val="0"/>
              </w:num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蝇博士/亨得利/克灭蝇王</w:t>
            </w:r>
          </w:p>
        </w:tc>
        <w:tc>
          <w:tcPr>
            <w:tcW w:w="1593" w:type="dxa"/>
            <w:vAlign w:val="top"/>
          </w:tcPr>
          <w:p>
            <w:pPr>
              <w:pStyle w:val="13"/>
              <w:numPr>
                <w:ilvl w:val="0"/>
                <w:numId w:val="0"/>
              </w:numPr>
              <w:rPr>
                <w:rFonts w:hint="eastAsia" w:ascii="宋体" w:hAnsi="宋体" w:eastAsia="宋体" w:cs="宋体"/>
                <w:sz w:val="24"/>
                <w:szCs w:val="24"/>
                <w:vertAlign w:val="baseline"/>
                <w:lang w:val="en-US" w:eastAsia="zh-CN"/>
              </w:rPr>
            </w:pPr>
          </w:p>
        </w:tc>
      </w:tr>
    </w:tbl>
    <w:p>
      <w:pPr>
        <w:pStyle w:val="2"/>
        <w:numPr>
          <w:ilvl w:val="0"/>
          <w:numId w:val="0"/>
        </w:numPr>
        <w:ind w:leftChars="0" w:right="277" w:rightChars="0"/>
        <w:jc w:val="both"/>
        <w:rPr>
          <w:rFonts w:hint="default"/>
          <w:sz w:val="24"/>
          <w:szCs w:val="24"/>
          <w:lang w:val="en-US" w:eastAsia="zh-CN"/>
        </w:rPr>
      </w:pPr>
      <w:r>
        <w:rPr>
          <w:rFonts w:hint="eastAsia"/>
          <w:sz w:val="24"/>
          <w:szCs w:val="24"/>
          <w:lang w:val="en-US" w:eastAsia="zh-CN"/>
        </w:rPr>
        <w:t>说明：</w:t>
      </w:r>
    </w:p>
    <w:p>
      <w:pPr>
        <w:numPr>
          <w:ilvl w:val="0"/>
          <w:numId w:val="22"/>
        </w:numPr>
        <w:spacing w:line="360" w:lineRule="auto"/>
        <w:ind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招标人对材料设备品牌有要求的，中标人应按照招标人推荐品牌或</w:t>
      </w:r>
      <w:r>
        <w:rPr>
          <w:rFonts w:hint="eastAsia" w:ascii="宋体" w:hAnsi="宋体" w:eastAsia="宋体" w:cs="宋体"/>
          <w:color w:val="auto"/>
          <w:sz w:val="21"/>
          <w:szCs w:val="21"/>
          <w:highlight w:val="cyan"/>
          <w:lang w:val="en-US" w:eastAsia="zh-CN"/>
        </w:rPr>
        <w:t>同档次及以上</w:t>
      </w:r>
      <w:r>
        <w:rPr>
          <w:rFonts w:hint="eastAsia" w:ascii="宋体" w:hAnsi="宋体" w:eastAsia="宋体" w:cs="宋体"/>
          <w:color w:val="auto"/>
          <w:sz w:val="21"/>
          <w:szCs w:val="21"/>
          <w:highlight w:val="none"/>
          <w:lang w:val="en-US" w:eastAsia="zh-CN"/>
        </w:rPr>
        <w:t xml:space="preserve">中选定，并充分考虑供货、产品更新换代等风险进行报价，若中标人选定的品牌在实施时无法供货或无法正常供货，将由招标人在推荐的其余品牌中选定或补充，材料（设备）价格不予调整。 </w:t>
      </w:r>
    </w:p>
    <w:p>
      <w:pPr>
        <w:numPr>
          <w:ilvl w:val="0"/>
          <w:numId w:val="22"/>
        </w:numPr>
        <w:spacing w:line="360" w:lineRule="auto"/>
        <w:ind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对于招标人已明确品牌，但未明确档次的，中标人均需采用中档及中档以上型号。</w:t>
      </w:r>
    </w:p>
    <w:p>
      <w:pPr>
        <w:numPr>
          <w:ilvl w:val="0"/>
          <w:numId w:val="0"/>
        </w:numPr>
        <w:adjustRightInd w:val="0"/>
        <w:snapToGrid w:val="0"/>
        <w:spacing w:line="360" w:lineRule="auto"/>
        <w:ind w:firstLine="420" w:firstLineChars="200"/>
        <w:rPr>
          <w:rFonts w:hint="eastAsia"/>
          <w:b/>
          <w:bCs/>
          <w:kern w:val="0"/>
          <w:sz w:val="21"/>
          <w:szCs w:val="21"/>
          <w:lang w:val="en-US"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对于招标人未推荐品牌范围要求的材料、设备必须采用中档及中档以上品牌或国内外知名厂家生产，在采购前报监理和招标人确认。</w:t>
      </w:r>
    </w:p>
    <w:p>
      <w:pPr>
        <w:spacing w:line="360" w:lineRule="auto"/>
        <w:rPr>
          <w:b/>
          <w:bCs/>
          <w:sz w:val="21"/>
          <w:szCs w:val="21"/>
        </w:rPr>
      </w:pPr>
      <w:r>
        <w:rPr>
          <w:rFonts w:hint="eastAsia"/>
          <w:b/>
          <w:bCs/>
          <w:kern w:val="0"/>
          <w:sz w:val="21"/>
          <w:szCs w:val="21"/>
          <w:lang w:val="en-US" w:eastAsia="zh-CN"/>
        </w:rPr>
        <w:t>五、</w:t>
      </w:r>
      <w:r>
        <w:rPr>
          <w:rFonts w:hint="eastAsia"/>
          <w:b/>
          <w:bCs/>
          <w:kern w:val="0"/>
          <w:sz w:val="21"/>
          <w:szCs w:val="21"/>
        </w:rPr>
        <w:t>总承包管理服务内容</w:t>
      </w:r>
    </w:p>
    <w:p>
      <w:pPr>
        <w:tabs>
          <w:tab w:val="left" w:pos="360"/>
        </w:tabs>
        <w:spacing w:line="360" w:lineRule="auto"/>
        <w:ind w:firstLine="630" w:firstLineChars="300"/>
        <w:rPr>
          <w:rFonts w:hint="eastAsia"/>
          <w:sz w:val="21"/>
          <w:szCs w:val="21"/>
        </w:rPr>
      </w:pPr>
      <w:r>
        <w:rPr>
          <w:rFonts w:hint="eastAsia"/>
          <w:sz w:val="21"/>
          <w:szCs w:val="21"/>
        </w:rPr>
        <w:t>本项目纳入总承包管理范围，总承包管理服务内容见以下内容，总承包管理服务费已包含在总承包合同价款中，如投标人需总承包单位提供总承包管理服务内容外的其他配合服务，相关费用由投标人综合考虑计入投标报价</w:t>
      </w:r>
    </w:p>
    <w:p>
      <w:pPr>
        <w:tabs>
          <w:tab w:val="left" w:pos="360"/>
        </w:tabs>
        <w:spacing w:line="360" w:lineRule="auto"/>
        <w:ind w:firstLine="630" w:firstLineChars="300"/>
        <w:rPr>
          <w:sz w:val="21"/>
          <w:szCs w:val="21"/>
        </w:rPr>
      </w:pPr>
      <w:r>
        <w:rPr>
          <w:rFonts w:hint="eastAsia"/>
          <w:sz w:val="21"/>
          <w:szCs w:val="21"/>
        </w:rPr>
        <w:t>1、办公费、水电费、场地费、脚手架、垂直运输费、施工道路等所有相关现场管理及配合费用；</w:t>
      </w:r>
    </w:p>
    <w:p>
      <w:pPr>
        <w:tabs>
          <w:tab w:val="left" w:pos="360"/>
        </w:tabs>
        <w:spacing w:line="360" w:lineRule="auto"/>
        <w:ind w:firstLine="630" w:firstLineChars="300"/>
        <w:rPr>
          <w:sz w:val="21"/>
          <w:szCs w:val="21"/>
        </w:rPr>
      </w:pPr>
      <w:r>
        <w:rPr>
          <w:rFonts w:hint="eastAsia"/>
          <w:sz w:val="21"/>
          <w:szCs w:val="21"/>
        </w:rPr>
        <w:t>2、现场轴线和标高测量资料、工序交接验收，另行发包单位提供必要办公和材料堆放场地，总承包管理配合协调、另行发包的资料汇总和整理等；</w:t>
      </w:r>
    </w:p>
    <w:p>
      <w:pPr>
        <w:tabs>
          <w:tab w:val="left" w:pos="360"/>
        </w:tabs>
        <w:spacing w:line="360" w:lineRule="auto"/>
        <w:ind w:firstLine="630" w:firstLineChars="300"/>
        <w:rPr>
          <w:sz w:val="21"/>
          <w:szCs w:val="21"/>
        </w:rPr>
      </w:pPr>
      <w:r>
        <w:rPr>
          <w:rFonts w:hint="eastAsia"/>
          <w:sz w:val="21"/>
          <w:szCs w:val="21"/>
        </w:rPr>
        <w:t>3、提供工作面，留出合理的工期，并作好技术上、交叉施工中的管理和配合协调工作，同时配合各另行发包做好水电接入工作；</w:t>
      </w:r>
    </w:p>
    <w:p>
      <w:pPr>
        <w:tabs>
          <w:tab w:val="left" w:pos="360"/>
        </w:tabs>
        <w:spacing w:line="360" w:lineRule="auto"/>
        <w:ind w:firstLine="630" w:firstLineChars="300"/>
        <w:rPr>
          <w:sz w:val="21"/>
          <w:szCs w:val="21"/>
        </w:rPr>
      </w:pPr>
      <w:r>
        <w:rPr>
          <w:rFonts w:hint="eastAsia"/>
          <w:sz w:val="21"/>
          <w:szCs w:val="21"/>
        </w:rPr>
        <w:t>4、包括第一次补槽费、补洞费、预留洞位置、预埋箱位置和相应的建筑垃圾清理等协助费用，如再次补槽、补洞现象，费用在发包人的协调下按实向分包单位收取，同时协调过程中，承包人必须服从发包人核定的金额；</w:t>
      </w:r>
    </w:p>
    <w:p>
      <w:pPr>
        <w:tabs>
          <w:tab w:val="left" w:pos="360"/>
        </w:tabs>
        <w:spacing w:line="360" w:lineRule="auto"/>
        <w:ind w:firstLine="630" w:firstLineChars="300"/>
        <w:rPr>
          <w:sz w:val="21"/>
          <w:szCs w:val="21"/>
        </w:rPr>
      </w:pPr>
      <w:r>
        <w:rPr>
          <w:rFonts w:hint="eastAsia"/>
          <w:sz w:val="21"/>
          <w:szCs w:val="21"/>
        </w:rPr>
        <w:t>5、承包人应交的各种规费及其它费用分摊已包含在配合费中，不得再向另行发包另行收取，如：与市政、市容、环保、保险、交通、 治安、绿化、卫生、工程所在地等方面所发生的各种费用；</w:t>
      </w:r>
    </w:p>
    <w:p>
      <w:pPr>
        <w:tabs>
          <w:tab w:val="left" w:pos="360"/>
        </w:tabs>
        <w:spacing w:line="360" w:lineRule="auto"/>
        <w:ind w:firstLine="630" w:firstLineChars="300"/>
        <w:rPr>
          <w:sz w:val="21"/>
          <w:szCs w:val="21"/>
        </w:rPr>
      </w:pPr>
      <w:r>
        <w:rPr>
          <w:rFonts w:hint="eastAsia"/>
          <w:sz w:val="21"/>
          <w:szCs w:val="21"/>
        </w:rPr>
        <w:t>6、包括各另行发包在预埋时模板开洞对承包人造成的模板损耗费用，对另行发包开而不用的洞，承包人可以阻止，并对其进行处罚；</w:t>
      </w:r>
    </w:p>
    <w:p>
      <w:pPr>
        <w:tabs>
          <w:tab w:val="left" w:pos="360"/>
        </w:tabs>
        <w:spacing w:line="360" w:lineRule="auto"/>
        <w:ind w:firstLine="630" w:firstLineChars="300"/>
        <w:rPr>
          <w:sz w:val="21"/>
          <w:szCs w:val="21"/>
        </w:rPr>
      </w:pPr>
      <w:r>
        <w:rPr>
          <w:rFonts w:hint="eastAsia"/>
          <w:sz w:val="21"/>
          <w:szCs w:val="21"/>
        </w:rPr>
        <w:t>7、负责成品保护（如因承包人原因造成的损失，由承包人照价赔偿；因另行发包原因造成的损失，由承包人承担总包责任，协调赔偿费用）；</w:t>
      </w:r>
    </w:p>
    <w:p>
      <w:pPr>
        <w:tabs>
          <w:tab w:val="left" w:pos="360"/>
        </w:tabs>
        <w:spacing w:line="360" w:lineRule="auto"/>
        <w:ind w:firstLine="630" w:firstLineChars="300"/>
        <w:rPr>
          <w:sz w:val="21"/>
          <w:szCs w:val="21"/>
        </w:rPr>
      </w:pPr>
      <w:r>
        <w:rPr>
          <w:rFonts w:hint="eastAsia"/>
          <w:sz w:val="21"/>
          <w:szCs w:val="21"/>
        </w:rPr>
        <w:t>8、完成工程范围内的临时道路、 围墙等工程；</w:t>
      </w:r>
    </w:p>
    <w:p>
      <w:pPr>
        <w:tabs>
          <w:tab w:val="left" w:pos="360"/>
        </w:tabs>
        <w:spacing w:line="360" w:lineRule="auto"/>
        <w:ind w:firstLine="630" w:firstLineChars="300"/>
        <w:rPr>
          <w:rFonts w:hint="eastAsia"/>
          <w:sz w:val="21"/>
          <w:szCs w:val="21"/>
        </w:rPr>
      </w:pPr>
      <w:r>
        <w:rPr>
          <w:rFonts w:hint="eastAsia"/>
          <w:sz w:val="21"/>
          <w:szCs w:val="21"/>
          <w:lang w:val="en-US" w:eastAsia="zh-CN"/>
        </w:rPr>
        <w:t>9、</w:t>
      </w:r>
      <w:r>
        <w:rPr>
          <w:rFonts w:hint="eastAsia"/>
          <w:sz w:val="21"/>
          <w:szCs w:val="21"/>
        </w:rPr>
        <w:t>塔吊等运输设备的使用和配合。</w:t>
      </w:r>
    </w:p>
    <w:p>
      <w:pPr>
        <w:tabs>
          <w:tab w:val="left" w:pos="360"/>
        </w:tabs>
        <w:spacing w:line="360" w:lineRule="auto"/>
        <w:ind w:firstLine="630" w:firstLineChars="300"/>
        <w:rPr>
          <w:sz w:val="24"/>
          <w:szCs w:val="24"/>
        </w:rPr>
      </w:pPr>
      <w:r>
        <w:rPr>
          <w:rFonts w:hint="eastAsia"/>
          <w:sz w:val="21"/>
          <w:szCs w:val="21"/>
          <w:lang w:val="en-US" w:eastAsia="zh-CN"/>
        </w:rPr>
        <w:t>10</w:t>
      </w:r>
      <w:r>
        <w:rPr>
          <w:rFonts w:hint="eastAsia"/>
          <w:sz w:val="21"/>
          <w:szCs w:val="21"/>
        </w:rPr>
        <w:t>、分包材料进场报验、检验检测、竣工资料编制等所有技术管理工作费用；总承包方不得以总包管理费问题阻挠另行发包单位进场施工，由此而产生的工期延误均及窝工损失，均由工程总承包单位独自承担）。</w:t>
      </w:r>
    </w:p>
    <w:p>
      <w:pPr>
        <w:pStyle w:val="15"/>
      </w:pPr>
    </w:p>
    <w:p>
      <w:pPr>
        <w:spacing w:line="360" w:lineRule="exact"/>
        <w:jc w:val="center"/>
        <w:sectPr>
          <w:pgSz w:w="11910" w:h="16840"/>
          <w:pgMar w:top="1440" w:right="1800" w:bottom="1440" w:left="1800" w:header="0" w:footer="913" w:gutter="0"/>
          <w:pgNumType w:fmt="decimal"/>
          <w:cols w:space="720" w:num="1"/>
        </w:sect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2"/>
        <w:rPr>
          <w:sz w:val="16"/>
        </w:rPr>
      </w:pPr>
    </w:p>
    <w:p>
      <w:pPr>
        <w:pStyle w:val="2"/>
        <w:spacing w:before="55"/>
        <w:ind w:right="64"/>
      </w:pPr>
      <w:bookmarkStart w:id="127" w:name="第三卷"/>
      <w:bookmarkEnd w:id="127"/>
      <w:bookmarkStart w:id="128" w:name="_Toc29408"/>
      <w:bookmarkStart w:id="129" w:name="_Toc901"/>
      <w:r>
        <w:rPr>
          <w:rFonts w:hint="eastAsia"/>
          <w:w w:val="95"/>
        </w:rPr>
        <w:t>第三卷</w:t>
      </w:r>
      <w:bookmarkEnd w:id="128"/>
      <w:bookmarkEnd w:id="129"/>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rPr>
          <w:sz w:val="32"/>
        </w:rPr>
      </w:pPr>
    </w:p>
    <w:p>
      <w:pPr>
        <w:pStyle w:val="12"/>
        <w:spacing w:before="7"/>
        <w:rPr>
          <w:sz w:val="44"/>
        </w:rPr>
      </w:pPr>
    </w:p>
    <w:p>
      <w:pPr>
        <w:pStyle w:val="2"/>
        <w:spacing w:before="0"/>
        <w:ind w:right="64"/>
        <w:rPr>
          <w:b/>
          <w:bCs/>
          <w:sz w:val="36"/>
          <w:szCs w:val="36"/>
        </w:rPr>
      </w:pPr>
      <w:bookmarkStart w:id="130" w:name="第六章__投标文件格式"/>
      <w:bookmarkEnd w:id="130"/>
      <w:bookmarkStart w:id="131" w:name="_Toc31773"/>
      <w:bookmarkStart w:id="132" w:name="_Toc25909"/>
      <w:r>
        <w:rPr>
          <w:rFonts w:hint="eastAsia"/>
          <w:b/>
          <w:bCs/>
          <w:spacing w:val="14"/>
          <w:sz w:val="36"/>
          <w:szCs w:val="36"/>
        </w:rPr>
        <w:t>第六章 投标文件格式</w:t>
      </w:r>
      <w:bookmarkEnd w:id="131"/>
      <w:bookmarkEnd w:id="132"/>
    </w:p>
    <w:p>
      <w:pPr>
        <w:sectPr>
          <w:pgSz w:w="11910" w:h="16840"/>
          <w:pgMar w:top="1580" w:right="600" w:bottom="1180" w:left="880" w:header="0" w:footer="913" w:gutter="0"/>
          <w:pgNumType w:fmt="decimal"/>
          <w:cols w:space="720" w:num="1"/>
        </w:sect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2"/>
        <w:rPr>
          <w:sz w:val="26"/>
        </w:rPr>
      </w:pPr>
    </w:p>
    <w:p>
      <w:pPr>
        <w:pStyle w:val="11"/>
        <w:jc w:val="center"/>
        <w:rPr>
          <w:rFonts w:ascii="宋体" w:eastAsia="宋体"/>
          <w:color w:val="auto"/>
          <w:sz w:val="48"/>
          <w:szCs w:val="48"/>
        </w:rPr>
      </w:pPr>
      <w:bookmarkStart w:id="133" w:name="商务标部分目录"/>
      <w:bookmarkEnd w:id="133"/>
      <w:r>
        <w:rPr>
          <w:rFonts w:hint="eastAsia" w:ascii="宋体" w:eastAsia="宋体"/>
          <w:color w:val="auto"/>
          <w:sz w:val="48"/>
          <w:u w:val="single"/>
        </w:rPr>
        <w:t xml:space="preserve"> </w:t>
      </w:r>
      <w:r>
        <w:rPr>
          <w:rFonts w:hint="eastAsia" w:ascii="宋体" w:eastAsia="宋体"/>
          <w:color w:val="auto"/>
          <w:sz w:val="48"/>
          <w:u w:val="single"/>
        </w:rPr>
        <w:tab/>
      </w:r>
      <w:r>
        <w:rPr>
          <w:rFonts w:hint="eastAsia" w:ascii="宋体" w:eastAsia="宋体"/>
          <w:color w:val="auto"/>
          <w:sz w:val="48"/>
          <w:u w:val="single"/>
        </w:rPr>
        <w:t xml:space="preserve">               </w:t>
      </w:r>
      <w:r>
        <w:rPr>
          <w:rFonts w:hint="eastAsia" w:ascii="宋体" w:eastAsia="宋体"/>
          <w:color w:val="auto"/>
          <w:sz w:val="52"/>
          <w:szCs w:val="52"/>
        </w:rPr>
        <w:t>项目</w:t>
      </w:r>
    </w:p>
    <w:p>
      <w:pPr>
        <w:tabs>
          <w:tab w:val="left" w:pos="3047"/>
        </w:tabs>
        <w:spacing w:before="48"/>
        <w:ind w:right="3336"/>
        <w:jc w:val="right"/>
        <w:outlineLvl w:val="0"/>
        <w:rPr>
          <w:sz w:val="48"/>
        </w:rPr>
      </w:pPr>
    </w:p>
    <w:p>
      <w:pPr>
        <w:pStyle w:val="12"/>
        <w:rPr>
          <w:sz w:val="52"/>
        </w:rPr>
      </w:pPr>
    </w:p>
    <w:p>
      <w:pPr>
        <w:pStyle w:val="12"/>
        <w:rPr>
          <w:sz w:val="52"/>
        </w:rPr>
      </w:pPr>
    </w:p>
    <w:p>
      <w:pPr>
        <w:pStyle w:val="12"/>
        <w:rPr>
          <w:sz w:val="52"/>
        </w:rPr>
      </w:pPr>
    </w:p>
    <w:p>
      <w:pPr>
        <w:pStyle w:val="12"/>
        <w:rPr>
          <w:sz w:val="52"/>
        </w:rPr>
      </w:pPr>
    </w:p>
    <w:p>
      <w:pPr>
        <w:pStyle w:val="12"/>
        <w:spacing w:before="8"/>
        <w:rPr>
          <w:sz w:val="68"/>
        </w:rPr>
      </w:pPr>
    </w:p>
    <w:p>
      <w:pPr>
        <w:pStyle w:val="11"/>
        <w:jc w:val="center"/>
        <w:rPr>
          <w:rFonts w:ascii="宋体" w:eastAsia="宋体"/>
          <w:color w:val="auto"/>
          <w:sz w:val="48"/>
          <w:szCs w:val="48"/>
        </w:rPr>
      </w:pPr>
      <w:bookmarkStart w:id="134" w:name="_Toc13213"/>
      <w:r>
        <w:rPr>
          <w:rFonts w:hint="eastAsia" w:ascii="宋体" w:eastAsia="宋体"/>
          <w:color w:val="auto"/>
          <w:sz w:val="48"/>
          <w:szCs w:val="48"/>
        </w:rPr>
        <w:t>投 标 文 件</w:t>
      </w:r>
      <w:bookmarkEnd w:id="134"/>
    </w:p>
    <w:p>
      <w:pPr>
        <w:pStyle w:val="11"/>
        <w:jc w:val="center"/>
        <w:rPr>
          <w:rFonts w:ascii="宋体" w:eastAsia="宋体"/>
          <w:color w:val="auto"/>
          <w:sz w:val="48"/>
          <w:szCs w:val="48"/>
        </w:rPr>
      </w:pPr>
      <w:bookmarkStart w:id="135" w:name="_Toc28629"/>
      <w:r>
        <w:rPr>
          <w:rFonts w:hint="eastAsia" w:ascii="宋体" w:eastAsia="宋体"/>
          <w:color w:val="auto"/>
          <w:sz w:val="48"/>
          <w:szCs w:val="48"/>
        </w:rPr>
        <w:t>（商务标文件）</w:t>
      </w:r>
      <w:bookmarkEnd w:id="135"/>
    </w:p>
    <w:p>
      <w:pPr>
        <w:pStyle w:val="12"/>
        <w:rPr>
          <w:sz w:val="52"/>
        </w:rPr>
      </w:pPr>
    </w:p>
    <w:p>
      <w:pPr>
        <w:pStyle w:val="12"/>
        <w:rPr>
          <w:sz w:val="52"/>
        </w:rPr>
      </w:pPr>
    </w:p>
    <w:p>
      <w:pPr>
        <w:pStyle w:val="22"/>
        <w:rPr>
          <w:sz w:val="52"/>
        </w:rPr>
      </w:pPr>
    </w:p>
    <w:p>
      <w:pPr>
        <w:pStyle w:val="12"/>
      </w:pPr>
    </w:p>
    <w:p>
      <w:pPr>
        <w:pStyle w:val="5"/>
        <w:tabs>
          <w:tab w:val="left" w:pos="6234"/>
        </w:tabs>
        <w:spacing w:before="1" w:line="360" w:lineRule="auto"/>
        <w:ind w:firstLine="298" w:firstLineChars="100"/>
        <w:jc w:val="both"/>
        <w:rPr>
          <w:sz w:val="30"/>
          <w:szCs w:val="30"/>
        </w:rPr>
      </w:pPr>
      <w:bookmarkStart w:id="136" w:name="_Toc19682"/>
      <w:r>
        <w:rPr>
          <w:rFonts w:hint="eastAsia"/>
          <w:spacing w:val="-1"/>
          <w:sz w:val="30"/>
          <w:szCs w:val="30"/>
        </w:rPr>
        <w:t>投标人（盖单位公</w:t>
      </w:r>
      <w:r>
        <w:rPr>
          <w:rFonts w:hint="eastAsia"/>
          <w:sz w:val="30"/>
          <w:szCs w:val="30"/>
        </w:rPr>
        <w:t>章）：</w:t>
      </w:r>
      <w:bookmarkEnd w:id="136"/>
      <w:r>
        <w:rPr>
          <w:rFonts w:hint="eastAsia"/>
          <w:sz w:val="30"/>
          <w:szCs w:val="30"/>
          <w:u w:val="single"/>
        </w:rPr>
        <w:t xml:space="preserve">                    </w:t>
      </w:r>
    </w:p>
    <w:p>
      <w:pPr>
        <w:pStyle w:val="5"/>
        <w:tabs>
          <w:tab w:val="left" w:pos="6234"/>
        </w:tabs>
        <w:spacing w:before="71" w:line="360" w:lineRule="auto"/>
        <w:ind w:firstLine="298" w:firstLineChars="100"/>
        <w:jc w:val="both"/>
        <w:rPr>
          <w:sz w:val="30"/>
          <w:szCs w:val="30"/>
        </w:rPr>
      </w:pPr>
      <w:bookmarkStart w:id="137" w:name="_Toc30027"/>
      <w:r>
        <w:rPr>
          <w:rFonts w:hint="eastAsia"/>
          <w:spacing w:val="-1"/>
          <w:sz w:val="30"/>
          <w:szCs w:val="30"/>
        </w:rPr>
        <w:t>法定代表人或委托代理人（签名</w:t>
      </w:r>
      <w:r>
        <w:rPr>
          <w:rFonts w:hint="eastAsia"/>
          <w:sz w:val="30"/>
          <w:szCs w:val="30"/>
        </w:rPr>
        <w:t>或盖章）：</w:t>
      </w:r>
      <w:bookmarkEnd w:id="137"/>
      <w:r>
        <w:rPr>
          <w:rFonts w:hint="eastAsia"/>
          <w:sz w:val="30"/>
          <w:szCs w:val="30"/>
          <w:u w:val="single"/>
        </w:rPr>
        <w:t xml:space="preserve">         </w:t>
      </w:r>
      <w:r>
        <w:rPr>
          <w:rFonts w:hint="eastAsia"/>
          <w:sz w:val="30"/>
          <w:szCs w:val="30"/>
        </w:rPr>
        <w:t xml:space="preserve">          </w:t>
      </w:r>
    </w:p>
    <w:p>
      <w:pPr>
        <w:pStyle w:val="5"/>
        <w:tabs>
          <w:tab w:val="left" w:pos="6234"/>
        </w:tabs>
        <w:spacing w:before="71" w:line="360" w:lineRule="auto"/>
        <w:ind w:firstLine="300" w:firstLineChars="100"/>
        <w:jc w:val="both"/>
        <w:rPr>
          <w:sz w:val="30"/>
          <w:szCs w:val="30"/>
        </w:rPr>
      </w:pPr>
      <w:bookmarkStart w:id="138" w:name="_Toc8016"/>
      <w:r>
        <w:rPr>
          <w:rFonts w:hint="eastAsia"/>
          <w:sz w:val="30"/>
          <w:szCs w:val="30"/>
        </w:rPr>
        <w:t>日    期：</w:t>
      </w:r>
      <w:bookmarkEnd w:id="138"/>
      <w:r>
        <w:rPr>
          <w:rFonts w:hint="eastAsia"/>
          <w:sz w:val="30"/>
          <w:szCs w:val="30"/>
          <w:u w:val="single"/>
        </w:rPr>
        <w:t xml:space="preserve">                         </w:t>
      </w:r>
    </w:p>
    <w:p>
      <w:pPr>
        <w:sectPr>
          <w:pgSz w:w="11910" w:h="16840"/>
          <w:pgMar w:top="1580" w:right="600" w:bottom="1180" w:left="880" w:header="0" w:footer="913" w:gutter="0"/>
          <w:pgNumType w:fmt="decimal"/>
          <w:cols w:space="720" w:num="1"/>
        </w:sectPr>
      </w:pPr>
    </w:p>
    <w:p>
      <w:pPr>
        <w:spacing w:before="13"/>
        <w:ind w:right="66"/>
        <w:jc w:val="center"/>
        <w:outlineLvl w:val="1"/>
        <w:rPr>
          <w:b/>
          <w:bCs/>
          <w:w w:val="95"/>
          <w:sz w:val="44"/>
        </w:rPr>
      </w:pPr>
      <w:bookmarkStart w:id="139" w:name="一、投标函及投标函附录"/>
      <w:bookmarkEnd w:id="139"/>
      <w:bookmarkStart w:id="140" w:name="_Toc20912"/>
      <w:r>
        <w:rPr>
          <w:rFonts w:hint="eastAsia"/>
          <w:b/>
          <w:bCs/>
          <w:w w:val="95"/>
          <w:sz w:val="44"/>
        </w:rPr>
        <w:t>商务标部分目录</w:t>
      </w:r>
      <w:bookmarkEnd w:id="140"/>
    </w:p>
    <w:p>
      <w:pPr>
        <w:pStyle w:val="12"/>
        <w:spacing w:before="8" w:line="360" w:lineRule="auto"/>
        <w:rPr>
          <w:sz w:val="28"/>
          <w:szCs w:val="28"/>
        </w:rPr>
      </w:pPr>
    </w:p>
    <w:p>
      <w:pPr>
        <w:pStyle w:val="22"/>
      </w:pPr>
    </w:p>
    <w:p>
      <w:pPr>
        <w:pStyle w:val="22"/>
        <w:ind w:firstLine="960" w:firstLineChars="400"/>
        <w:rPr>
          <w:sz w:val="24"/>
          <w:szCs w:val="24"/>
        </w:rPr>
      </w:pPr>
      <w:bookmarkStart w:id="141" w:name="_Toc6840"/>
      <w:r>
        <w:rPr>
          <w:rFonts w:hint="eastAsia"/>
          <w:sz w:val="24"/>
          <w:szCs w:val="24"/>
        </w:rPr>
        <w:t>一、投标函</w:t>
      </w:r>
      <w:bookmarkEnd w:id="141"/>
    </w:p>
    <w:p>
      <w:pPr>
        <w:pStyle w:val="22"/>
        <w:ind w:firstLine="960" w:firstLineChars="400"/>
        <w:rPr>
          <w:sz w:val="24"/>
          <w:szCs w:val="24"/>
        </w:rPr>
      </w:pPr>
      <w:bookmarkStart w:id="142" w:name="_Toc2778"/>
      <w:r>
        <w:rPr>
          <w:rFonts w:hint="eastAsia"/>
          <w:sz w:val="24"/>
          <w:szCs w:val="24"/>
        </w:rPr>
        <w:t>二、法定代表人资格证明书或法定代表人授权委托书</w:t>
      </w:r>
      <w:bookmarkEnd w:id="142"/>
      <w:r>
        <w:rPr>
          <w:rFonts w:hint="eastAsia"/>
          <w:sz w:val="24"/>
          <w:szCs w:val="24"/>
        </w:rPr>
        <w:t xml:space="preserve"> </w:t>
      </w:r>
    </w:p>
    <w:p>
      <w:pPr>
        <w:pStyle w:val="22"/>
        <w:ind w:firstLine="960" w:firstLineChars="400"/>
        <w:rPr>
          <w:sz w:val="24"/>
          <w:szCs w:val="24"/>
        </w:rPr>
      </w:pPr>
      <w:bookmarkStart w:id="143" w:name="_Toc21941"/>
      <w:r>
        <w:rPr>
          <w:rFonts w:hint="eastAsia"/>
          <w:sz w:val="24"/>
          <w:szCs w:val="24"/>
        </w:rPr>
        <w:t>三、投标保证金</w:t>
      </w:r>
      <w:bookmarkEnd w:id="143"/>
    </w:p>
    <w:p>
      <w:pPr>
        <w:pStyle w:val="22"/>
        <w:ind w:firstLine="960" w:firstLineChars="400"/>
        <w:rPr>
          <w:sz w:val="24"/>
          <w:szCs w:val="24"/>
        </w:rPr>
      </w:pPr>
      <w:bookmarkStart w:id="144" w:name="_Toc27794"/>
      <w:r>
        <w:rPr>
          <w:rFonts w:hint="eastAsia"/>
          <w:sz w:val="24"/>
          <w:szCs w:val="24"/>
        </w:rPr>
        <w:t>四、投标报价明细表</w:t>
      </w:r>
      <w:bookmarkEnd w:id="144"/>
    </w:p>
    <w:p>
      <w:pPr>
        <w:pStyle w:val="22"/>
        <w:ind w:firstLine="960" w:firstLineChars="400"/>
        <w:rPr>
          <w:sz w:val="24"/>
          <w:szCs w:val="24"/>
        </w:rPr>
      </w:pPr>
      <w:bookmarkStart w:id="145" w:name="_Toc9759"/>
      <w:r>
        <w:rPr>
          <w:rFonts w:hint="eastAsia"/>
          <w:sz w:val="24"/>
          <w:szCs w:val="24"/>
        </w:rPr>
        <w:t>五、招标文件要求或投标人认为需要的其他资料</w:t>
      </w:r>
      <w:bookmarkEnd w:id="145"/>
    </w:p>
    <w:p>
      <w:pPr>
        <w:pStyle w:val="5"/>
        <w:spacing w:before="170"/>
      </w:pPr>
    </w:p>
    <w:p>
      <w:pPr>
        <w:pStyle w:val="5"/>
        <w:spacing w:before="170"/>
      </w:pPr>
      <w:bookmarkStart w:id="146" w:name="_Toc4539"/>
      <w:r>
        <w:rPr>
          <w:rFonts w:hint="eastAsia"/>
        </w:rPr>
        <w:t>注：上述内容如未提供格式，均可自拟。</w:t>
      </w:r>
      <w:bookmarkEnd w:id="146"/>
    </w:p>
    <w:p/>
    <w:p>
      <w:pPr>
        <w:sectPr>
          <w:pgSz w:w="11910" w:h="16840"/>
          <w:pgMar w:top="1320" w:right="600" w:bottom="1180" w:left="880" w:header="0" w:footer="913" w:gutter="0"/>
          <w:pgNumType w:fmt="decimal"/>
          <w:cols w:space="720" w:num="1"/>
        </w:sectPr>
      </w:pPr>
    </w:p>
    <w:p>
      <w:pPr>
        <w:pStyle w:val="3"/>
        <w:jc w:val="center"/>
        <w:rPr>
          <w:rFonts w:ascii="宋体" w:hAnsi="宋体" w:eastAsia="宋体" w:cs="宋体"/>
          <w:sz w:val="36"/>
          <w:szCs w:val="36"/>
        </w:rPr>
      </w:pPr>
      <w:bookmarkStart w:id="147" w:name="_Toc3602"/>
      <w:r>
        <w:rPr>
          <w:rFonts w:hint="eastAsia" w:ascii="宋体" w:hAnsi="宋体" w:eastAsia="宋体" w:cs="宋体"/>
          <w:sz w:val="36"/>
          <w:szCs w:val="36"/>
        </w:rPr>
        <w:t>一、投标函</w:t>
      </w:r>
      <w:bookmarkEnd w:id="147"/>
    </w:p>
    <w:p>
      <w:pPr>
        <w:pStyle w:val="12"/>
        <w:spacing w:before="1"/>
        <w:rPr>
          <w:sz w:val="23"/>
        </w:rPr>
      </w:pPr>
    </w:p>
    <w:p>
      <w:pPr>
        <w:pStyle w:val="7"/>
        <w:spacing w:before="1" w:line="360" w:lineRule="auto"/>
        <w:ind w:left="560" w:firstLine="0"/>
        <w:jc w:val="both"/>
        <w:rPr>
          <w:sz w:val="21"/>
          <w:szCs w:val="21"/>
        </w:rPr>
      </w:pPr>
      <w:r>
        <w:rPr>
          <w:rFonts w:hint="eastAsia"/>
          <w:sz w:val="21"/>
          <w:szCs w:val="21"/>
        </w:rPr>
        <w:t>致：</w:t>
      </w:r>
      <w:r>
        <w:rPr>
          <w:rFonts w:hint="eastAsia"/>
          <w:sz w:val="21"/>
          <w:szCs w:val="21"/>
          <w:u w:val="single"/>
        </w:rPr>
        <w:t>海盐县人民医院</w:t>
      </w:r>
      <w:r>
        <w:rPr>
          <w:rFonts w:hint="eastAsia"/>
          <w:sz w:val="21"/>
          <w:szCs w:val="21"/>
        </w:rPr>
        <w:t>：</w:t>
      </w:r>
    </w:p>
    <w:p/>
    <w:p>
      <w:pPr>
        <w:pStyle w:val="12"/>
        <w:tabs>
          <w:tab w:val="left" w:pos="3605"/>
          <w:tab w:val="left" w:pos="5179"/>
          <w:tab w:val="left" w:pos="8748"/>
        </w:tabs>
        <w:spacing w:line="360" w:lineRule="auto"/>
        <w:ind w:left="735" w:leftChars="350" w:right="626" w:firstLine="609" w:firstLineChars="290"/>
        <w:jc w:val="both"/>
        <w:rPr>
          <w:rFonts w:hint="eastAsia"/>
        </w:rPr>
      </w:pPr>
      <w:r>
        <w:rPr>
          <w:rFonts w:hint="eastAsia"/>
        </w:rPr>
        <w:t>根据贵方为</w:t>
      </w:r>
      <w:r>
        <w:rPr>
          <w:rFonts w:hint="eastAsia"/>
          <w:u w:val="single"/>
        </w:rPr>
        <w:tab/>
      </w:r>
      <w:r>
        <w:rPr>
          <w:rFonts w:hint="eastAsia"/>
        </w:rPr>
        <w:t>（项目名称）的招标采购货物及服务的投标邀请，签字代表</w:t>
      </w:r>
      <w:r>
        <w:rPr>
          <w:rFonts w:hint="eastAsia"/>
          <w:u w:val="single"/>
        </w:rPr>
        <w:tab/>
      </w:r>
      <w:r>
        <w:rPr>
          <w:rFonts w:hint="eastAsia"/>
          <w:u w:val="single"/>
          <w:lang w:val="en-US" w:eastAsia="zh-CN"/>
        </w:rPr>
        <w:t xml:space="preserve">    </w:t>
      </w:r>
      <w:r>
        <w:rPr>
          <w:rFonts w:hint="eastAsia"/>
          <w:u w:val="single"/>
        </w:rPr>
        <w:t xml:space="preserve"> </w:t>
      </w:r>
      <w:r>
        <w:rPr>
          <w:rFonts w:hint="eastAsia"/>
          <w:spacing w:val="-1"/>
        </w:rPr>
        <w:t>（全</w:t>
      </w:r>
      <w:r>
        <w:rPr>
          <w:rFonts w:hint="eastAsia"/>
        </w:rPr>
        <w:t>名、职务）经正式授权并代表投标人</w:t>
      </w:r>
      <w:r>
        <w:rPr>
          <w:rFonts w:hint="eastAsia"/>
          <w:u w:val="single"/>
        </w:rPr>
        <w:tab/>
      </w:r>
      <w:r>
        <w:rPr>
          <w:rFonts w:hint="eastAsia"/>
          <w:u w:val="single"/>
        </w:rPr>
        <w:t xml:space="preserve">   </w:t>
      </w:r>
      <w:r>
        <w:rPr>
          <w:rFonts w:hint="eastAsia"/>
        </w:rPr>
        <w:t>（投标人名称、地址）提交下述文件正本一份、副本四份。</w:t>
      </w:r>
    </w:p>
    <w:p>
      <w:pPr>
        <w:pStyle w:val="62"/>
        <w:tabs>
          <w:tab w:val="left" w:pos="1690"/>
        </w:tabs>
        <w:spacing w:line="360" w:lineRule="auto"/>
        <w:ind w:left="1100" w:firstLine="0"/>
        <w:rPr>
          <w:sz w:val="21"/>
          <w:szCs w:val="21"/>
        </w:rPr>
      </w:pPr>
      <w:r>
        <w:rPr>
          <w:rFonts w:hint="eastAsia"/>
          <w:sz w:val="21"/>
          <w:szCs w:val="21"/>
        </w:rPr>
        <w:t>（1）投标报价明细表；</w:t>
      </w:r>
    </w:p>
    <w:p>
      <w:pPr>
        <w:pStyle w:val="62"/>
        <w:tabs>
          <w:tab w:val="left" w:pos="1690"/>
        </w:tabs>
        <w:spacing w:line="360" w:lineRule="auto"/>
        <w:ind w:left="1100" w:firstLine="0"/>
        <w:rPr>
          <w:sz w:val="21"/>
          <w:szCs w:val="21"/>
          <w:highlight w:val="none"/>
        </w:rPr>
      </w:pPr>
      <w:r>
        <w:rPr>
          <w:rFonts w:hint="eastAsia"/>
          <w:sz w:val="21"/>
          <w:szCs w:val="21"/>
          <w:highlight w:val="none"/>
        </w:rPr>
        <w:t>（2）按投标文件须知中要求提供的全部文件；</w:t>
      </w:r>
    </w:p>
    <w:p>
      <w:pPr>
        <w:pStyle w:val="62"/>
        <w:tabs>
          <w:tab w:val="left" w:pos="1690"/>
        </w:tabs>
        <w:spacing w:line="360" w:lineRule="auto"/>
        <w:ind w:left="1260" w:leftChars="500" w:right="3697" w:hanging="210" w:hangingChars="100"/>
        <w:rPr>
          <w:rFonts w:hint="eastAsia"/>
          <w:w w:val="95"/>
          <w:sz w:val="21"/>
          <w:szCs w:val="21"/>
          <w:highlight w:val="none"/>
        </w:rPr>
      </w:pPr>
      <w:r>
        <w:rPr>
          <w:rFonts w:hint="eastAsia"/>
          <w:sz w:val="21"/>
          <w:szCs w:val="21"/>
          <w:highlight w:val="none"/>
        </w:rPr>
        <w:t>（3）资格证明文件（企业营业执照、法人代表授权书等）</w:t>
      </w:r>
      <w:r>
        <w:rPr>
          <w:rFonts w:hint="eastAsia"/>
          <w:w w:val="95"/>
          <w:sz w:val="21"/>
          <w:szCs w:val="21"/>
          <w:highlight w:val="none"/>
        </w:rPr>
        <w:t>。</w:t>
      </w:r>
    </w:p>
    <w:p>
      <w:pPr>
        <w:pStyle w:val="62"/>
        <w:tabs>
          <w:tab w:val="left" w:pos="1690"/>
        </w:tabs>
        <w:spacing w:line="360" w:lineRule="auto"/>
        <w:ind w:left="1251" w:leftChars="500" w:right="3697" w:hanging="201" w:hangingChars="100"/>
        <w:rPr>
          <w:sz w:val="21"/>
          <w:szCs w:val="21"/>
          <w:highlight w:val="none"/>
        </w:rPr>
      </w:pPr>
      <w:r>
        <w:rPr>
          <w:rFonts w:hint="eastAsia"/>
          <w:spacing w:val="1"/>
          <w:w w:val="95"/>
          <w:sz w:val="21"/>
          <w:szCs w:val="21"/>
          <w:highlight w:val="none"/>
        </w:rPr>
        <w:t xml:space="preserve"> </w:t>
      </w:r>
      <w:r>
        <w:rPr>
          <w:rFonts w:hint="eastAsia"/>
          <w:sz w:val="21"/>
          <w:szCs w:val="21"/>
          <w:highlight w:val="none"/>
        </w:rPr>
        <w:t>据此函，签字代表宣布同意如下：</w:t>
      </w:r>
    </w:p>
    <w:p>
      <w:pPr>
        <w:pStyle w:val="62"/>
        <w:numPr>
          <w:ilvl w:val="0"/>
          <w:numId w:val="0"/>
        </w:numPr>
        <w:tabs>
          <w:tab w:val="left" w:pos="1348"/>
        </w:tabs>
        <w:spacing w:line="360" w:lineRule="auto"/>
        <w:ind w:left="630" w:leftChars="300" w:firstLine="420" w:firstLineChars="200"/>
        <w:jc w:val="both"/>
        <w:rPr>
          <w:sz w:val="21"/>
          <w:szCs w:val="21"/>
        </w:rPr>
      </w:pPr>
      <w:r>
        <w:rPr>
          <w:rFonts w:hint="eastAsia"/>
          <w:sz w:val="21"/>
          <w:szCs w:val="21"/>
        </w:rPr>
        <w:t>（1）所附投标报价明细表中规定的应提供和交付的货物及提供的服务投标总价为：</w:t>
      </w:r>
      <w:r>
        <w:rPr>
          <w:rFonts w:hint="eastAsia"/>
          <w:w w:val="99"/>
          <w:sz w:val="21"/>
          <w:szCs w:val="21"/>
          <w:u w:val="single"/>
        </w:rPr>
        <w:t xml:space="preserve">          </w:t>
      </w:r>
      <w:r>
        <w:rPr>
          <w:rFonts w:hint="eastAsia"/>
          <w:sz w:val="21"/>
          <w:szCs w:val="21"/>
        </w:rPr>
        <w:t>，即（大写）：</w:t>
      </w:r>
      <w:r>
        <w:rPr>
          <w:rFonts w:hint="eastAsia"/>
          <w:sz w:val="21"/>
          <w:szCs w:val="21"/>
          <w:u w:val="single"/>
        </w:rPr>
        <w:tab/>
      </w:r>
      <w:r>
        <w:rPr>
          <w:rFonts w:hint="eastAsia"/>
          <w:sz w:val="21"/>
          <w:szCs w:val="21"/>
          <w:u w:val="single"/>
        </w:rPr>
        <w:t xml:space="preserve">                </w:t>
      </w:r>
      <w:r>
        <w:rPr>
          <w:rFonts w:hint="eastAsia"/>
          <w:spacing w:val="-4"/>
          <w:sz w:val="21"/>
          <w:szCs w:val="21"/>
        </w:rPr>
        <w:t>。</w:t>
      </w:r>
      <w:r>
        <w:rPr>
          <w:rFonts w:hint="eastAsia"/>
          <w:sz w:val="21"/>
          <w:szCs w:val="21"/>
        </w:rPr>
        <w:t>工期：</w:t>
      </w:r>
      <w:r>
        <w:rPr>
          <w:rFonts w:hint="eastAsia"/>
          <w:color w:val="000000" w:themeColor="text1"/>
          <w:sz w:val="21"/>
          <w:szCs w:val="21"/>
          <w:highlight w:val="none"/>
          <w:u w:val="single"/>
          <w14:textFill>
            <w14:solidFill>
              <w14:schemeClr w14:val="tx1"/>
            </w14:solidFill>
          </w14:textFill>
        </w:rPr>
        <w:t>合同签订生效且具备进场条件后</w:t>
      </w:r>
      <w:r>
        <w:rPr>
          <w:rFonts w:hint="eastAsia"/>
          <w:color w:val="000000" w:themeColor="text1"/>
          <w:sz w:val="21"/>
          <w:szCs w:val="21"/>
          <w:highlight w:val="none"/>
          <w:u w:val="single"/>
          <w:lang w:eastAsia="zh-CN"/>
          <w14:textFill>
            <w14:solidFill>
              <w14:schemeClr w14:val="tx1"/>
            </w14:solidFill>
          </w14:textFill>
        </w:rPr>
        <w:t>，</w:t>
      </w:r>
      <w:r>
        <w:rPr>
          <w:rFonts w:hint="eastAsia"/>
          <w:color w:val="000000" w:themeColor="text1"/>
          <w:sz w:val="21"/>
          <w:szCs w:val="21"/>
          <w:highlight w:val="none"/>
          <w:u w:val="single"/>
          <w:lang w:val="en-US" w:eastAsia="zh-CN"/>
          <w14:textFill>
            <w14:solidFill>
              <w14:schemeClr w14:val="tx1"/>
            </w14:solidFill>
          </w14:textFill>
        </w:rPr>
        <w:t xml:space="preserve">  个月内</w:t>
      </w:r>
      <w:r>
        <w:rPr>
          <w:rFonts w:hint="eastAsia"/>
          <w:color w:val="000000" w:themeColor="text1"/>
          <w:sz w:val="21"/>
          <w:szCs w:val="21"/>
          <w:highlight w:val="none"/>
          <w:u w:val="single"/>
          <w14:textFill>
            <w14:solidFill>
              <w14:schemeClr w14:val="tx1"/>
            </w14:solidFill>
          </w14:textFill>
        </w:rPr>
        <w:t>完成设备的供货、安装、调试及试运行，具体以配合施工现场进度为准</w:t>
      </w:r>
      <w:r>
        <w:rPr>
          <w:rFonts w:hint="eastAsia"/>
          <w:color w:val="000000" w:themeColor="text1"/>
          <w:sz w:val="21"/>
          <w:szCs w:val="21"/>
          <w:highlight w:val="none"/>
          <w:u w:val="single"/>
          <w:lang w:eastAsia="zh-CN"/>
          <w14:textFill>
            <w14:solidFill>
              <w14:schemeClr w14:val="tx1"/>
            </w14:solidFill>
          </w14:textFill>
        </w:rPr>
        <w:t>。</w:t>
      </w:r>
      <w:r>
        <w:rPr>
          <w:rFonts w:hint="eastAsia"/>
          <w:spacing w:val="2"/>
          <w:sz w:val="21"/>
          <w:szCs w:val="21"/>
          <w:highlight w:val="none"/>
        </w:rPr>
        <w:t>；质量要求</w:t>
      </w:r>
      <w:r>
        <w:rPr>
          <w:rFonts w:hint="eastAsia"/>
          <w:w w:val="95"/>
          <w:sz w:val="21"/>
          <w:szCs w:val="21"/>
          <w:highlight w:val="none"/>
          <w:u w:val="none"/>
        </w:rPr>
        <w:t>：</w:t>
      </w:r>
      <w:r>
        <w:rPr>
          <w:rFonts w:hint="eastAsia"/>
          <w:color w:val="000000" w:themeColor="text1"/>
          <w:sz w:val="21"/>
          <w:szCs w:val="21"/>
          <w:highlight w:val="none"/>
          <w:u w:val="single"/>
          <w14:textFill>
            <w14:solidFill>
              <w14:schemeClr w14:val="tx1"/>
            </w14:solidFill>
          </w14:textFill>
        </w:rPr>
        <w:t>符合图纸设计要求，并经招标人验收通过、配合总承包单位争创钱江杯、鲁班奖；配合总承包单位做好本项目绿色建筑2星、BIM技术服务</w:t>
      </w:r>
      <w:r>
        <w:rPr>
          <w:rFonts w:hint="eastAsia"/>
          <w:sz w:val="21"/>
          <w:szCs w:val="21"/>
          <w:highlight w:val="none"/>
          <w:u w:val="single"/>
        </w:rPr>
        <w:t>；</w:t>
      </w:r>
      <w:r>
        <w:rPr>
          <w:rFonts w:hint="eastAsia"/>
          <w:sz w:val="21"/>
          <w:szCs w:val="21"/>
        </w:rPr>
        <w:t>拟派项目负责人：</w:t>
      </w:r>
      <w:r>
        <w:rPr>
          <w:rFonts w:hint="eastAsia"/>
          <w:sz w:val="21"/>
          <w:szCs w:val="21"/>
          <w:u w:val="single"/>
        </w:rPr>
        <w:t xml:space="preserve">         </w:t>
      </w:r>
      <w:r>
        <w:rPr>
          <w:rFonts w:hint="eastAsia"/>
          <w:sz w:val="21"/>
          <w:szCs w:val="21"/>
        </w:rPr>
        <w:t>。</w:t>
      </w:r>
    </w:p>
    <w:p>
      <w:pPr>
        <w:pStyle w:val="62"/>
        <w:tabs>
          <w:tab w:val="left" w:pos="1690"/>
        </w:tabs>
        <w:spacing w:line="360" w:lineRule="auto"/>
        <w:ind w:left="420" w:leftChars="200" w:firstLine="630" w:firstLineChars="300"/>
        <w:rPr>
          <w:sz w:val="21"/>
          <w:szCs w:val="21"/>
        </w:rPr>
      </w:pPr>
      <w:r>
        <w:rPr>
          <w:rFonts w:hint="eastAsia"/>
          <w:sz w:val="21"/>
          <w:szCs w:val="21"/>
        </w:rPr>
        <w:t>（2）投标人将按招标文件的规定履行合同责任和义务。</w:t>
      </w:r>
    </w:p>
    <w:p>
      <w:pPr>
        <w:pStyle w:val="62"/>
        <w:tabs>
          <w:tab w:val="left" w:pos="1690"/>
        </w:tabs>
        <w:spacing w:line="360" w:lineRule="auto"/>
        <w:ind w:left="619" w:leftChars="295" w:firstLineChars="200"/>
        <w:rPr>
          <w:sz w:val="21"/>
          <w:szCs w:val="21"/>
        </w:rPr>
      </w:pPr>
      <w:r>
        <w:rPr>
          <w:rFonts w:hint="eastAsia"/>
          <w:sz w:val="21"/>
          <w:szCs w:val="21"/>
        </w:rPr>
        <w:t>（3）投标人已详细审查全部招标文件，包括修改文件（如需要修改）以及全部参考资料和有关附件。我们完全理解并同意放弃对这方面有不明及误解的权利。</w:t>
      </w:r>
    </w:p>
    <w:p>
      <w:pPr>
        <w:pStyle w:val="62"/>
        <w:tabs>
          <w:tab w:val="left" w:pos="1690"/>
        </w:tabs>
        <w:spacing w:line="360" w:lineRule="auto"/>
        <w:ind w:left="420" w:leftChars="200" w:firstLine="630" w:firstLineChars="300"/>
        <w:rPr>
          <w:w w:val="95"/>
          <w:sz w:val="21"/>
          <w:szCs w:val="21"/>
        </w:rPr>
      </w:pPr>
      <w:r>
        <w:rPr>
          <w:rFonts w:hint="eastAsia"/>
          <w:sz w:val="21"/>
          <w:szCs w:val="21"/>
        </w:rPr>
        <w:t>（4）其投标有效期为自投标截止时间后</w:t>
      </w:r>
      <w:r>
        <w:rPr>
          <w:rFonts w:hint="eastAsia"/>
          <w:sz w:val="21"/>
          <w:szCs w:val="21"/>
          <w:u w:val="single"/>
        </w:rPr>
        <w:t>90</w:t>
      </w:r>
      <w:r>
        <w:rPr>
          <w:rFonts w:hint="eastAsia"/>
          <w:sz w:val="21"/>
          <w:szCs w:val="21"/>
        </w:rPr>
        <w:t>日历天</w:t>
      </w:r>
      <w:r>
        <w:rPr>
          <w:rFonts w:hint="eastAsia"/>
          <w:w w:val="95"/>
          <w:sz w:val="21"/>
          <w:szCs w:val="21"/>
        </w:rPr>
        <w:t>。</w:t>
      </w:r>
    </w:p>
    <w:p>
      <w:pPr>
        <w:pStyle w:val="62"/>
        <w:tabs>
          <w:tab w:val="left" w:pos="1690"/>
        </w:tabs>
        <w:spacing w:line="360" w:lineRule="auto"/>
        <w:ind w:left="420" w:leftChars="200" w:firstLine="630" w:firstLineChars="300"/>
        <w:rPr>
          <w:sz w:val="21"/>
          <w:szCs w:val="21"/>
        </w:rPr>
      </w:pPr>
      <w:r>
        <w:rPr>
          <w:rFonts w:hint="eastAsia"/>
          <w:sz w:val="21"/>
          <w:szCs w:val="21"/>
        </w:rPr>
        <w:t>（5）如果在开标规定的时间和日期后，投标人在投标有效期内撤回投标，其投标保证金将不予返还。</w:t>
      </w:r>
    </w:p>
    <w:p>
      <w:pPr>
        <w:pStyle w:val="62"/>
        <w:tabs>
          <w:tab w:val="left" w:pos="1690"/>
        </w:tabs>
        <w:spacing w:line="360" w:lineRule="auto"/>
        <w:ind w:left="598" w:leftChars="285" w:right="146" w:firstLineChars="200"/>
        <w:rPr>
          <w:sz w:val="21"/>
          <w:szCs w:val="21"/>
        </w:rPr>
      </w:pPr>
      <w:r>
        <w:rPr>
          <w:rFonts w:hint="eastAsia"/>
          <w:sz w:val="21"/>
          <w:szCs w:val="21"/>
        </w:rPr>
        <w:t>（6）投标人同意提供按照招标人的可能要求的与投标有关的一切数据和资料，完全理解招标人不一定要接受最低价的投标或收到的任何投标。</w:t>
      </w:r>
    </w:p>
    <w:p>
      <w:pPr>
        <w:pStyle w:val="62"/>
        <w:tabs>
          <w:tab w:val="left" w:pos="1690"/>
        </w:tabs>
        <w:spacing w:line="360" w:lineRule="auto"/>
        <w:ind w:left="399" w:leftChars="190" w:right="626" w:firstLine="630" w:firstLineChars="300"/>
        <w:rPr>
          <w:sz w:val="21"/>
          <w:szCs w:val="21"/>
        </w:rPr>
      </w:pPr>
      <w:r>
        <w:rPr>
          <w:rFonts w:hint="eastAsia"/>
          <w:sz w:val="21"/>
          <w:szCs w:val="21"/>
        </w:rPr>
        <w:t>（7）与本投标有关的一切正式来往通讯请寄：</w:t>
      </w:r>
    </w:p>
    <w:p>
      <w:pPr>
        <w:pStyle w:val="12"/>
        <w:tabs>
          <w:tab w:val="left" w:pos="4890"/>
          <w:tab w:val="left" w:pos="5259"/>
          <w:tab w:val="left" w:pos="8881"/>
        </w:tabs>
        <w:spacing w:line="360" w:lineRule="auto"/>
        <w:ind w:left="1164"/>
      </w:pPr>
      <w:r>
        <w:rPr>
          <w:rFonts w:hint="eastAsia"/>
        </w:rPr>
        <w:t>投标人地址：</w:t>
      </w:r>
      <w:r>
        <w:rPr>
          <w:rFonts w:hint="eastAsia"/>
          <w:u w:val="single"/>
        </w:rPr>
        <w:tab/>
      </w:r>
      <w:r>
        <w:rPr>
          <w:rFonts w:hint="eastAsia"/>
        </w:rPr>
        <w:tab/>
      </w:r>
      <w:r>
        <w:rPr>
          <w:rFonts w:hint="eastAsia"/>
        </w:rPr>
        <w:t>邮编：</w:t>
      </w:r>
      <w:r>
        <w:rPr>
          <w:rFonts w:hint="eastAsia"/>
          <w:u w:val="single"/>
        </w:rPr>
        <w:t xml:space="preserve"> </w:t>
      </w:r>
      <w:r>
        <w:rPr>
          <w:rFonts w:hint="eastAsia"/>
          <w:u w:val="single"/>
        </w:rPr>
        <w:tab/>
      </w:r>
    </w:p>
    <w:p>
      <w:pPr>
        <w:pStyle w:val="12"/>
        <w:tabs>
          <w:tab w:val="left" w:pos="4681"/>
          <w:tab w:val="left" w:pos="5259"/>
          <w:tab w:val="left" w:pos="8775"/>
        </w:tabs>
        <w:spacing w:line="360" w:lineRule="auto"/>
        <w:ind w:left="1164"/>
      </w:pPr>
      <w:r>
        <w:rPr>
          <w:rFonts w:hint="eastAsia"/>
        </w:rPr>
        <w:t>电话：</w:t>
      </w:r>
      <w:r>
        <w:rPr>
          <w:rFonts w:hint="eastAsia"/>
          <w:u w:val="single"/>
        </w:rPr>
        <w:tab/>
      </w:r>
      <w:r>
        <w:rPr>
          <w:rFonts w:hint="eastAsia"/>
        </w:rPr>
        <w:tab/>
      </w:r>
      <w:r>
        <w:rPr>
          <w:rFonts w:hint="eastAsia"/>
        </w:rPr>
        <w:t>传真：</w:t>
      </w:r>
      <w:r>
        <w:rPr>
          <w:rFonts w:hint="eastAsia"/>
          <w:u w:val="single"/>
        </w:rPr>
        <w:t xml:space="preserve"> </w:t>
      </w:r>
      <w:r>
        <w:rPr>
          <w:rFonts w:hint="eastAsia"/>
          <w:u w:val="single"/>
        </w:rPr>
        <w:tab/>
      </w:r>
    </w:p>
    <w:p>
      <w:pPr>
        <w:pStyle w:val="12"/>
        <w:tabs>
          <w:tab w:val="left" w:pos="4357"/>
          <w:tab w:val="left" w:pos="4725"/>
          <w:tab w:val="left" w:pos="7717"/>
        </w:tabs>
        <w:spacing w:line="360" w:lineRule="auto"/>
        <w:ind w:right="377"/>
        <w:jc w:val="center"/>
      </w:pPr>
      <w:r>
        <w:rPr>
          <w:rFonts w:hint="eastAsia"/>
        </w:rPr>
        <w:t>投标人代表姓名（签名）：</w:t>
      </w:r>
      <w:r>
        <w:rPr>
          <w:rFonts w:hint="eastAsia"/>
          <w:u w:val="single"/>
        </w:rPr>
        <w:tab/>
      </w:r>
      <w:r>
        <w:rPr>
          <w:rFonts w:hint="eastAsia"/>
        </w:rPr>
        <w:tab/>
      </w:r>
      <w:r>
        <w:rPr>
          <w:rFonts w:hint="eastAsia"/>
        </w:rPr>
        <w:t>投标人盖章：</w:t>
      </w:r>
      <w:r>
        <w:rPr>
          <w:rFonts w:hint="eastAsia"/>
          <w:spacing w:val="2"/>
        </w:rPr>
        <w:t xml:space="preserve"> </w:t>
      </w:r>
      <w:r>
        <w:rPr>
          <w:rFonts w:hint="eastAsia"/>
          <w:w w:val="99"/>
          <w:u w:val="single"/>
        </w:rPr>
        <w:t xml:space="preserve"> </w:t>
      </w:r>
      <w:r>
        <w:rPr>
          <w:rFonts w:hint="eastAsia"/>
          <w:u w:val="single"/>
        </w:rPr>
        <w:tab/>
      </w:r>
    </w:p>
    <w:p>
      <w:pPr>
        <w:pStyle w:val="12"/>
        <w:tabs>
          <w:tab w:val="left" w:pos="5521"/>
          <w:tab w:val="left" w:pos="6204"/>
          <w:tab w:val="left" w:pos="8461"/>
        </w:tabs>
        <w:spacing w:line="360" w:lineRule="auto"/>
        <w:ind w:left="1164"/>
      </w:pPr>
      <w:r>
        <w:rPr>
          <w:rFonts w:hint="eastAsia"/>
        </w:rPr>
        <w:t>地址：</w:t>
      </w:r>
      <w:r>
        <w:rPr>
          <w:rFonts w:hint="eastAsia"/>
          <w:u w:val="single"/>
        </w:rPr>
        <w:tab/>
      </w:r>
      <w:r>
        <w:rPr>
          <w:rFonts w:hint="eastAsia"/>
        </w:rPr>
        <w:t xml:space="preserve">    日期：</w:t>
      </w:r>
      <w:r>
        <w:rPr>
          <w:rFonts w:hint="eastAsia"/>
          <w:u w:val="single"/>
        </w:rPr>
        <w:t xml:space="preserve"> </w:t>
      </w:r>
      <w:r>
        <w:rPr>
          <w:rFonts w:hint="eastAsia"/>
          <w:u w:val="single"/>
        </w:rPr>
        <w:tab/>
      </w:r>
    </w:p>
    <w:p>
      <w:pPr>
        <w:sectPr>
          <w:pgSz w:w="11910" w:h="16840"/>
          <w:pgMar w:top="1500" w:right="600" w:bottom="1180" w:left="880" w:header="0" w:footer="913" w:gutter="0"/>
          <w:pgNumType w:fmt="decimal"/>
          <w:cols w:space="720" w:num="1"/>
        </w:sectPr>
      </w:pPr>
    </w:p>
    <w:p>
      <w:pPr>
        <w:pStyle w:val="3"/>
        <w:jc w:val="center"/>
        <w:rPr>
          <w:rFonts w:ascii="宋体" w:hAnsi="宋体" w:eastAsia="宋体" w:cs="宋体"/>
          <w:sz w:val="36"/>
          <w:szCs w:val="36"/>
        </w:rPr>
      </w:pPr>
      <w:bookmarkStart w:id="148" w:name="二、法定代表人资格证明书或法定代表人授权委托书"/>
      <w:bookmarkEnd w:id="148"/>
      <w:bookmarkStart w:id="149" w:name="_Toc952"/>
      <w:r>
        <w:rPr>
          <w:rFonts w:hint="eastAsia" w:ascii="宋体" w:hAnsi="宋体" w:eastAsia="宋体" w:cs="宋体"/>
          <w:sz w:val="36"/>
          <w:szCs w:val="36"/>
        </w:rPr>
        <w:t>二、法定代表人资格证明书或法定代表人授权委托书</w:t>
      </w:r>
      <w:bookmarkEnd w:id="149"/>
    </w:p>
    <w:p>
      <w:pPr>
        <w:spacing w:before="214"/>
        <w:ind w:right="1151"/>
        <w:jc w:val="center"/>
        <w:rPr>
          <w:sz w:val="32"/>
        </w:rPr>
      </w:pPr>
    </w:p>
    <w:p>
      <w:pPr>
        <w:spacing w:before="214"/>
        <w:ind w:right="1151"/>
        <w:jc w:val="center"/>
        <w:outlineLvl w:val="1"/>
        <w:rPr>
          <w:sz w:val="32"/>
        </w:rPr>
      </w:pPr>
      <w:bookmarkStart w:id="150" w:name="_Toc10805"/>
      <w:r>
        <w:rPr>
          <w:rFonts w:hint="eastAsia"/>
          <w:sz w:val="32"/>
        </w:rPr>
        <w:t>（一）法定代表人资格证明书</w:t>
      </w:r>
      <w:bookmarkEnd w:id="150"/>
    </w:p>
    <w:p>
      <w:pPr>
        <w:pStyle w:val="12"/>
        <w:rPr>
          <w:sz w:val="32"/>
        </w:rPr>
      </w:pPr>
    </w:p>
    <w:p>
      <w:pPr>
        <w:pStyle w:val="12"/>
        <w:spacing w:before="8"/>
        <w:rPr>
          <w:sz w:val="26"/>
        </w:rPr>
      </w:pPr>
    </w:p>
    <w:p>
      <w:pPr>
        <w:pStyle w:val="12"/>
        <w:tabs>
          <w:tab w:val="left" w:pos="7206"/>
        </w:tabs>
        <w:spacing w:before="1" w:line="360" w:lineRule="auto"/>
        <w:ind w:left="1275"/>
        <w:rPr>
          <w:sz w:val="24"/>
        </w:rPr>
      </w:pPr>
      <w:r>
        <w:rPr>
          <w:rFonts w:hint="eastAsia"/>
        </w:rPr>
        <w:t>投标人名称：</w:t>
      </w:r>
      <w:r>
        <w:rPr>
          <w:rFonts w:hint="eastAsia"/>
          <w:u w:val="single"/>
        </w:rPr>
        <w:t xml:space="preserve"> </w:t>
      </w:r>
      <w:r>
        <w:rPr>
          <w:rFonts w:hint="eastAsia"/>
          <w:u w:val="single"/>
        </w:rPr>
        <w:tab/>
      </w:r>
    </w:p>
    <w:p>
      <w:pPr>
        <w:pStyle w:val="12"/>
        <w:tabs>
          <w:tab w:val="left" w:pos="7103"/>
        </w:tabs>
        <w:spacing w:before="76" w:line="360" w:lineRule="auto"/>
        <w:ind w:left="1275"/>
        <w:rPr>
          <w:sz w:val="17"/>
        </w:rPr>
      </w:pPr>
      <w:r>
        <w:rPr>
          <w:rFonts w:hint="eastAsia"/>
        </w:rPr>
        <w:t>地址：</w:t>
      </w:r>
      <w:r>
        <w:rPr>
          <w:rFonts w:hint="eastAsia"/>
          <w:u w:val="single"/>
        </w:rPr>
        <w:t xml:space="preserve"> </w:t>
      </w:r>
      <w:r>
        <w:rPr>
          <w:rFonts w:hint="eastAsia"/>
          <w:u w:val="single"/>
        </w:rPr>
        <w:tab/>
      </w:r>
    </w:p>
    <w:p>
      <w:pPr>
        <w:pStyle w:val="12"/>
        <w:tabs>
          <w:tab w:val="left" w:pos="2955"/>
          <w:tab w:val="left" w:pos="3691"/>
          <w:tab w:val="left" w:pos="4320"/>
        </w:tabs>
        <w:spacing w:before="77" w:line="360" w:lineRule="auto"/>
        <w:ind w:left="1275"/>
      </w:pPr>
      <w:r>
        <w:rPr>
          <w:rFonts w:hint="eastAsia"/>
        </w:rPr>
        <w:t>成立时间：</w:t>
      </w:r>
      <w:r>
        <w:rPr>
          <w:rFonts w:hint="eastAsia"/>
          <w:u w:val="single"/>
        </w:rPr>
        <w:tab/>
      </w:r>
      <w:r>
        <w:rPr>
          <w:rFonts w:hint="eastAsia"/>
        </w:rPr>
        <w:t>年</w:t>
      </w:r>
      <w:r>
        <w:rPr>
          <w:rFonts w:hint="eastAsia"/>
          <w:u w:val="single"/>
        </w:rPr>
        <w:tab/>
      </w:r>
      <w:r>
        <w:rPr>
          <w:rFonts w:hint="eastAsia"/>
        </w:rPr>
        <w:t>月</w:t>
      </w:r>
      <w:r>
        <w:rPr>
          <w:rFonts w:hint="eastAsia"/>
          <w:u w:val="single"/>
        </w:rPr>
        <w:tab/>
      </w:r>
      <w:r>
        <w:rPr>
          <w:rFonts w:hint="eastAsia"/>
        </w:rPr>
        <w:t>日</w:t>
      </w:r>
    </w:p>
    <w:p>
      <w:pPr>
        <w:pStyle w:val="12"/>
        <w:tabs>
          <w:tab w:val="left" w:pos="7206"/>
        </w:tabs>
        <w:spacing w:line="360" w:lineRule="auto"/>
        <w:ind w:left="1275"/>
        <w:rPr>
          <w:sz w:val="24"/>
        </w:rPr>
      </w:pPr>
      <w:r>
        <w:rPr>
          <w:rFonts w:hint="eastAsia"/>
        </w:rPr>
        <w:t>经营期限：</w:t>
      </w:r>
      <w:r>
        <w:rPr>
          <w:rFonts w:hint="eastAsia"/>
          <w:u w:val="single"/>
        </w:rPr>
        <w:t xml:space="preserve"> </w:t>
      </w:r>
      <w:r>
        <w:rPr>
          <w:rFonts w:hint="eastAsia"/>
          <w:u w:val="single"/>
        </w:rPr>
        <w:tab/>
      </w:r>
    </w:p>
    <w:p>
      <w:pPr>
        <w:pStyle w:val="12"/>
        <w:tabs>
          <w:tab w:val="left" w:pos="3111"/>
          <w:tab w:val="left" w:pos="5003"/>
          <w:tab w:val="left" w:pos="6683"/>
          <w:tab w:val="left" w:pos="8466"/>
        </w:tabs>
        <w:spacing w:before="77" w:line="360" w:lineRule="auto"/>
        <w:ind w:left="1275"/>
        <w:rPr>
          <w:sz w:val="24"/>
        </w:rPr>
      </w:pPr>
      <w:r>
        <w:rPr>
          <w:rFonts w:hint="eastAsia"/>
        </w:rPr>
        <w:t>姓名：</w:t>
      </w:r>
      <w:r>
        <w:rPr>
          <w:rFonts w:hint="eastAsia"/>
          <w:u w:val="single"/>
        </w:rPr>
        <w:tab/>
      </w:r>
      <w:r>
        <w:rPr>
          <w:rFonts w:hint="eastAsia"/>
        </w:rPr>
        <w:t>性别：</w:t>
      </w:r>
      <w:r>
        <w:rPr>
          <w:rFonts w:hint="eastAsia"/>
          <w:u w:val="single"/>
        </w:rPr>
        <w:tab/>
      </w:r>
      <w:r>
        <w:rPr>
          <w:rFonts w:hint="eastAsia"/>
        </w:rPr>
        <w:t>年龄：</w:t>
      </w:r>
      <w:r>
        <w:rPr>
          <w:rFonts w:hint="eastAsia"/>
          <w:u w:val="single"/>
        </w:rPr>
        <w:tab/>
      </w:r>
      <w:r>
        <w:rPr>
          <w:rFonts w:hint="eastAsia"/>
        </w:rPr>
        <w:t>职务：</w:t>
      </w:r>
      <w:r>
        <w:rPr>
          <w:rFonts w:hint="eastAsia"/>
          <w:u w:val="single"/>
        </w:rPr>
        <w:t xml:space="preserve"> </w:t>
      </w:r>
      <w:r>
        <w:rPr>
          <w:rFonts w:hint="eastAsia"/>
          <w:u w:val="single"/>
        </w:rPr>
        <w:tab/>
      </w:r>
    </w:p>
    <w:p>
      <w:pPr>
        <w:pStyle w:val="12"/>
        <w:tabs>
          <w:tab w:val="left" w:pos="2955"/>
          <w:tab w:val="left" w:pos="5685"/>
        </w:tabs>
        <w:spacing w:before="77" w:line="360" w:lineRule="auto"/>
        <w:ind w:left="1275" w:right="3268"/>
      </w:pPr>
      <w:r>
        <w:rPr>
          <w:rFonts w:hint="eastAsia"/>
        </w:rPr>
        <w:t>系</w:t>
      </w:r>
      <w:r>
        <w:rPr>
          <w:rFonts w:hint="eastAsia"/>
          <w:u w:val="single"/>
        </w:rPr>
        <w:tab/>
      </w:r>
      <w:r>
        <w:rPr>
          <w:rFonts w:hint="eastAsia"/>
          <w:u w:val="single"/>
        </w:rPr>
        <w:t>（投标人名称）</w:t>
      </w:r>
      <w:r>
        <w:rPr>
          <w:rFonts w:hint="eastAsia"/>
          <w:u w:val="single"/>
        </w:rPr>
        <w:tab/>
      </w:r>
      <w:r>
        <w:rPr>
          <w:rFonts w:hint="eastAsia"/>
          <w:spacing w:val="-1"/>
        </w:rPr>
        <w:t>的</w:t>
      </w:r>
      <w:r>
        <w:rPr>
          <w:rFonts w:hint="eastAsia"/>
        </w:rPr>
        <w:t>法定代表人。特此证明。</w:t>
      </w: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2"/>
        <w:spacing w:before="156" w:line="360" w:lineRule="auto"/>
        <w:ind w:left="4006"/>
        <w:rPr>
          <w:sz w:val="20"/>
        </w:rPr>
      </w:pPr>
      <w:r>
        <w:rPr>
          <w:rFonts w:hint="eastAsia"/>
        </w:rPr>
        <w:t>投标人：(盖单位公章)</w:t>
      </w:r>
    </w:p>
    <w:p>
      <w:pPr>
        <w:pStyle w:val="12"/>
        <w:spacing w:before="156" w:line="360" w:lineRule="auto"/>
        <w:ind w:left="4006"/>
        <w:rPr>
          <w:sz w:val="20"/>
        </w:rPr>
      </w:pPr>
      <w:r>
        <w:rPr>
          <w:rFonts w:hint="eastAsia"/>
        </w:rPr>
        <w:t>法定代表人：（签名或盖章）</w:t>
      </w:r>
    </w:p>
    <w:p>
      <w:pPr>
        <w:pStyle w:val="12"/>
        <w:tabs>
          <w:tab w:val="left" w:pos="5371"/>
          <w:tab w:val="left" w:pos="6211"/>
          <w:tab w:val="left" w:pos="6840"/>
        </w:tabs>
        <w:spacing w:before="157" w:line="360" w:lineRule="auto"/>
        <w:ind w:left="4006"/>
      </w:pPr>
      <w:r>
        <w:rPr>
          <w:rFonts w:hint="eastAsia"/>
        </w:rPr>
        <w:t>日期：</w:t>
      </w:r>
      <w:r>
        <w:rPr>
          <w:rFonts w:hint="eastAsia"/>
          <w:u w:val="single"/>
        </w:rPr>
        <w:tab/>
      </w:r>
      <w:r>
        <w:rPr>
          <w:rFonts w:hint="eastAsia"/>
        </w:rPr>
        <w:t>年</w:t>
      </w:r>
      <w:r>
        <w:rPr>
          <w:rFonts w:hint="eastAsia"/>
          <w:u w:val="single"/>
        </w:rPr>
        <w:tab/>
      </w:r>
      <w:r>
        <w:rPr>
          <w:rFonts w:hint="eastAsia"/>
        </w:rPr>
        <w:t>月</w:t>
      </w:r>
      <w:r>
        <w:rPr>
          <w:rFonts w:hint="eastAsia"/>
          <w:u w:val="single"/>
        </w:rPr>
        <w:tab/>
      </w:r>
      <w:r>
        <w:rPr>
          <w:rFonts w:hint="eastAsia"/>
        </w:rPr>
        <w:t>日</w:t>
      </w:r>
    </w:p>
    <w:p>
      <w:pPr>
        <w:pStyle w:val="12"/>
        <w:rPr>
          <w:sz w:val="22"/>
        </w:rPr>
      </w:pPr>
    </w:p>
    <w:p>
      <w:pPr>
        <w:pStyle w:val="12"/>
        <w:rPr>
          <w:sz w:val="22"/>
        </w:rPr>
      </w:pPr>
    </w:p>
    <w:p>
      <w:pPr>
        <w:pStyle w:val="12"/>
        <w:spacing w:before="5"/>
        <w:rPr>
          <w:sz w:val="18"/>
        </w:rPr>
      </w:pPr>
    </w:p>
    <w:p>
      <w:pPr>
        <w:pStyle w:val="7"/>
        <w:ind w:left="706" w:firstLine="0"/>
      </w:pPr>
      <w:r>
        <w:rPr>
          <w:rFonts w:hint="eastAsia"/>
        </w:rPr>
        <w:t>附：法定代表人身份证复印件。</w:t>
      </w:r>
    </w:p>
    <w:p>
      <w:pPr>
        <w:sectPr>
          <w:footerReference r:id="rId6" w:type="default"/>
          <w:pgSz w:w="11910" w:h="16840"/>
          <w:pgMar w:top="1580" w:right="600" w:bottom="1180" w:left="880" w:header="0" w:footer="993" w:gutter="0"/>
          <w:pgNumType w:fmt="decimal"/>
          <w:cols w:space="720" w:num="1"/>
        </w:sectPr>
      </w:pPr>
    </w:p>
    <w:p>
      <w:pPr>
        <w:spacing w:before="214"/>
        <w:ind w:right="1151"/>
        <w:jc w:val="center"/>
        <w:outlineLvl w:val="1"/>
        <w:rPr>
          <w:sz w:val="32"/>
        </w:rPr>
      </w:pPr>
      <w:bookmarkStart w:id="151" w:name="三、投标保证金"/>
      <w:bookmarkEnd w:id="151"/>
      <w:bookmarkStart w:id="152" w:name="_Toc2594"/>
      <w:r>
        <w:rPr>
          <w:rFonts w:hint="eastAsia"/>
          <w:sz w:val="32"/>
        </w:rPr>
        <w:t>(二)法定代表人授权委托书</w:t>
      </w:r>
      <w:bookmarkEnd w:id="152"/>
    </w:p>
    <w:p>
      <w:pPr>
        <w:pStyle w:val="12"/>
        <w:rPr>
          <w:sz w:val="30"/>
        </w:rPr>
      </w:pPr>
    </w:p>
    <w:p>
      <w:pPr>
        <w:pStyle w:val="12"/>
        <w:spacing w:before="11"/>
        <w:rPr>
          <w:sz w:val="27"/>
        </w:rPr>
      </w:pPr>
    </w:p>
    <w:p>
      <w:pPr>
        <w:pStyle w:val="12"/>
        <w:tabs>
          <w:tab w:val="left" w:pos="1879"/>
          <w:tab w:val="left" w:pos="3584"/>
          <w:tab w:val="left" w:pos="4164"/>
          <w:tab w:val="left" w:pos="5739"/>
          <w:tab w:val="left" w:pos="8520"/>
        </w:tabs>
        <w:spacing w:line="535" w:lineRule="auto"/>
        <w:ind w:left="226" w:right="1377" w:firstLine="819" w:firstLineChars="390"/>
        <w:jc w:val="both"/>
      </w:pPr>
      <w:r>
        <w:rPr>
          <w:rFonts w:hint="eastAsia"/>
        </w:rPr>
        <w:t>本授权委托书声明：我</w:t>
      </w:r>
      <w:r>
        <w:rPr>
          <w:rFonts w:hint="eastAsia"/>
          <w:u w:val="single"/>
        </w:rPr>
        <w:tab/>
      </w:r>
      <w:r>
        <w:rPr>
          <w:rFonts w:hint="eastAsia"/>
          <w:w w:val="95"/>
        </w:rPr>
        <w:t>(姓名</w:t>
      </w:r>
      <w:r>
        <w:rPr>
          <w:rFonts w:hint="eastAsia"/>
          <w:spacing w:val="-74"/>
          <w:w w:val="95"/>
        </w:rPr>
        <w:t xml:space="preserve"> </w:t>
      </w:r>
      <w:r>
        <w:rPr>
          <w:rFonts w:hint="eastAsia"/>
        </w:rPr>
        <w:t>)系</w:t>
      </w:r>
      <w:r>
        <w:rPr>
          <w:rFonts w:hint="eastAsia"/>
          <w:u w:val="single"/>
        </w:rPr>
        <w:tab/>
      </w:r>
      <w:r>
        <w:rPr>
          <w:rFonts w:hint="eastAsia"/>
          <w:spacing w:val="-1"/>
        </w:rPr>
        <w:t>(投标</w:t>
      </w:r>
      <w:r>
        <w:rPr>
          <w:rFonts w:hint="eastAsia"/>
        </w:rPr>
        <w:t>人名称)的法定代表人，现授权委托</w:t>
      </w:r>
      <w:r>
        <w:rPr>
          <w:rFonts w:hint="eastAsia"/>
          <w:u w:val="single"/>
        </w:rPr>
        <w:tab/>
      </w:r>
      <w:r>
        <w:rPr>
          <w:rFonts w:hint="eastAsia"/>
        </w:rPr>
        <w:t>（单位名称）的</w:t>
      </w:r>
      <w:r>
        <w:rPr>
          <w:rFonts w:hint="eastAsia"/>
          <w:u w:val="single"/>
        </w:rPr>
        <w:tab/>
      </w:r>
      <w:r>
        <w:rPr>
          <w:rFonts w:hint="eastAsia"/>
          <w:u w:val="single"/>
        </w:rPr>
        <w:tab/>
      </w:r>
      <w:r>
        <w:rPr>
          <w:rFonts w:hint="eastAsia"/>
        </w:rPr>
        <w:t>(姓名、身份证号)为我公司代理人，参加</w:t>
      </w:r>
      <w:r>
        <w:rPr>
          <w:rFonts w:hint="eastAsia"/>
          <w:u w:val="single"/>
        </w:rPr>
        <w:tab/>
      </w:r>
      <w:r>
        <w:rPr>
          <w:rFonts w:hint="eastAsia"/>
        </w:rPr>
        <w:t>(招标人)的</w:t>
      </w:r>
      <w:r>
        <w:rPr>
          <w:rFonts w:hint="eastAsia"/>
          <w:u w:val="single"/>
        </w:rPr>
        <w:tab/>
      </w:r>
      <w:r>
        <w:rPr>
          <w:rFonts w:hint="eastAsia"/>
        </w:rPr>
        <w:t>项目的投标活动。 代理人在投标、开标、评标、合同谈判过程中所签署的一切文件和处理与之有关的一切事务，我均予以承认。</w:t>
      </w:r>
    </w:p>
    <w:p>
      <w:pPr>
        <w:pStyle w:val="12"/>
        <w:ind w:left="668"/>
      </w:pPr>
      <w:r>
        <w:rPr>
          <w:rFonts w:hint="eastAsia"/>
        </w:rPr>
        <w:t>代理人无转委权。特此委托。</w:t>
      </w:r>
    </w:p>
    <w:p>
      <w:pPr>
        <w:pStyle w:val="12"/>
      </w:pPr>
    </w:p>
    <w:p>
      <w:pPr>
        <w:pStyle w:val="12"/>
      </w:pPr>
    </w:p>
    <w:p>
      <w:pPr>
        <w:pStyle w:val="12"/>
        <w:spacing w:before="6"/>
      </w:pPr>
    </w:p>
    <w:p>
      <w:pPr>
        <w:pStyle w:val="12"/>
        <w:tabs>
          <w:tab w:val="left" w:pos="3711"/>
          <w:tab w:val="left" w:pos="6547"/>
          <w:tab w:val="left" w:pos="9097"/>
        </w:tabs>
        <w:ind w:left="668"/>
      </w:pPr>
      <w:r>
        <w:rPr>
          <w:rFonts w:hint="eastAsia"/>
        </w:rPr>
        <w:t>代理人：</w:t>
      </w:r>
      <w:r>
        <w:rPr>
          <w:rFonts w:hint="eastAsia"/>
          <w:u w:val="single"/>
        </w:rPr>
        <w:tab/>
      </w:r>
      <w:r>
        <w:rPr>
          <w:rFonts w:hint="eastAsia"/>
        </w:rPr>
        <w:t>性别：</w:t>
      </w:r>
      <w:r>
        <w:rPr>
          <w:rFonts w:hint="eastAsia"/>
          <w:u w:val="single"/>
        </w:rPr>
        <w:tab/>
      </w:r>
      <w:r>
        <w:rPr>
          <w:rFonts w:hint="eastAsia"/>
          <w:w w:val="95"/>
        </w:rPr>
        <w:t>年龄：</w:t>
      </w:r>
      <w:r>
        <w:rPr>
          <w:rFonts w:hint="eastAsia"/>
          <w:w w:val="95"/>
          <w:u w:val="single"/>
        </w:rPr>
        <w:t xml:space="preserve"> </w:t>
      </w:r>
      <w:r>
        <w:rPr>
          <w:rFonts w:hint="eastAsia"/>
          <w:u w:val="single"/>
        </w:rPr>
        <w:tab/>
      </w:r>
    </w:p>
    <w:p>
      <w:pPr>
        <w:pStyle w:val="12"/>
      </w:pPr>
    </w:p>
    <w:p>
      <w:pPr>
        <w:pStyle w:val="12"/>
      </w:pPr>
    </w:p>
    <w:p>
      <w:pPr>
        <w:pStyle w:val="12"/>
      </w:pPr>
    </w:p>
    <w:p>
      <w:pPr>
        <w:pStyle w:val="12"/>
        <w:tabs>
          <w:tab w:val="left" w:pos="3691"/>
          <w:tab w:val="left" w:pos="6526"/>
          <w:tab w:val="left" w:pos="9097"/>
        </w:tabs>
        <w:spacing w:before="76"/>
        <w:ind w:left="646"/>
      </w:pPr>
      <w:r>
        <w:rPr>
          <w:rFonts w:hint="eastAsia"/>
        </w:rPr>
        <w:t>单位：</w:t>
      </w:r>
      <w:r>
        <w:rPr>
          <w:rFonts w:hint="eastAsia"/>
          <w:u w:val="single"/>
        </w:rPr>
        <w:tab/>
      </w:r>
      <w:r>
        <w:rPr>
          <w:rFonts w:hint="eastAsia"/>
        </w:rPr>
        <w:t>部门：</w:t>
      </w:r>
      <w:r>
        <w:rPr>
          <w:rFonts w:hint="eastAsia"/>
          <w:u w:val="single"/>
        </w:rPr>
        <w:tab/>
      </w:r>
      <w:r>
        <w:rPr>
          <w:rFonts w:hint="eastAsia"/>
          <w:w w:val="95"/>
        </w:rPr>
        <w:t>职务：</w:t>
      </w:r>
      <w:r>
        <w:rPr>
          <w:rFonts w:hint="eastAsia"/>
          <w:w w:val="95"/>
          <w:u w:val="single"/>
        </w:rPr>
        <w:t xml:space="preserve"> </w:t>
      </w:r>
      <w:r>
        <w:rPr>
          <w:rFonts w:hint="eastAsia"/>
          <w:u w:val="single"/>
        </w:rPr>
        <w:tab/>
      </w:r>
    </w:p>
    <w:p>
      <w:pPr>
        <w:pStyle w:val="12"/>
      </w:pPr>
    </w:p>
    <w:p>
      <w:pPr>
        <w:pStyle w:val="12"/>
      </w:pPr>
    </w:p>
    <w:p>
      <w:pPr>
        <w:pStyle w:val="12"/>
      </w:pPr>
    </w:p>
    <w:p>
      <w:pPr>
        <w:pStyle w:val="12"/>
        <w:spacing w:before="3"/>
      </w:pPr>
    </w:p>
    <w:p>
      <w:pPr>
        <w:pStyle w:val="12"/>
        <w:spacing w:before="70" w:line="480" w:lineRule="auto"/>
        <w:ind w:left="646"/>
      </w:pPr>
      <w:r>
        <w:rPr>
          <w:rFonts w:hint="eastAsia"/>
        </w:rPr>
        <w:t>投标人：（盖单位公章）</w:t>
      </w:r>
    </w:p>
    <w:p>
      <w:pPr>
        <w:pStyle w:val="12"/>
        <w:spacing w:line="480" w:lineRule="auto"/>
        <w:ind w:left="646" w:right="6839"/>
      </w:pPr>
      <w:r>
        <w:rPr>
          <w:rFonts w:hint="eastAsia"/>
          <w:spacing w:val="-1"/>
        </w:rPr>
        <w:t>被委托代理人：</w:t>
      </w:r>
      <w:r>
        <w:rPr>
          <w:rFonts w:hint="eastAsia"/>
        </w:rPr>
        <w:t>（签名或盖章）</w:t>
      </w:r>
    </w:p>
    <w:p>
      <w:pPr>
        <w:pStyle w:val="12"/>
        <w:spacing w:line="480" w:lineRule="auto"/>
        <w:ind w:left="646" w:right="6839"/>
      </w:pPr>
      <w:r>
        <w:rPr>
          <w:rFonts w:hint="eastAsia"/>
        </w:rPr>
        <w:t>法定代表人：（签名或盖章）</w:t>
      </w:r>
    </w:p>
    <w:p>
      <w:pPr>
        <w:pStyle w:val="12"/>
        <w:tabs>
          <w:tab w:val="left" w:pos="2326"/>
          <w:tab w:val="left" w:pos="3271"/>
          <w:tab w:val="left" w:pos="4111"/>
        </w:tabs>
        <w:spacing w:line="480" w:lineRule="auto"/>
        <w:ind w:left="646"/>
      </w:pPr>
      <w:r>
        <w:rPr>
          <w:rFonts w:hint="eastAsia"/>
        </w:rPr>
        <w:t>日期：</w:t>
      </w:r>
      <w:r>
        <w:rPr>
          <w:rFonts w:hint="eastAsia"/>
          <w:u w:val="single"/>
        </w:rPr>
        <w:tab/>
      </w:r>
      <w:r>
        <w:rPr>
          <w:rFonts w:hint="eastAsia"/>
        </w:rPr>
        <w:t>年</w:t>
      </w:r>
      <w:r>
        <w:rPr>
          <w:rFonts w:hint="eastAsia"/>
          <w:u w:val="single"/>
        </w:rPr>
        <w:tab/>
      </w:r>
      <w:r>
        <w:rPr>
          <w:rFonts w:hint="eastAsia"/>
        </w:rPr>
        <w:t>月</w:t>
      </w:r>
      <w:r>
        <w:rPr>
          <w:rFonts w:hint="eastAsia"/>
          <w:u w:val="single"/>
        </w:rPr>
        <w:tab/>
      </w:r>
      <w:r>
        <w:rPr>
          <w:rFonts w:hint="eastAsia"/>
        </w:rPr>
        <w:t>日</w:t>
      </w:r>
    </w:p>
    <w:p/>
    <w:p/>
    <w:p>
      <w:pPr>
        <w:pStyle w:val="7"/>
        <w:ind w:left="706" w:firstLine="0"/>
      </w:pPr>
      <w:r>
        <w:rPr>
          <w:rFonts w:hint="eastAsia"/>
        </w:rPr>
        <w:t>附：委托代理人身份证复印件。</w:t>
      </w:r>
    </w:p>
    <w:p>
      <w:pPr>
        <w:pStyle w:val="20"/>
        <w:sectPr>
          <w:pgSz w:w="11910" w:h="16840"/>
          <w:pgMar w:top="1500" w:right="600" w:bottom="1180" w:left="880" w:header="0" w:footer="993" w:gutter="0"/>
          <w:pgNumType w:fmt="decimal"/>
          <w:cols w:space="720" w:num="1"/>
        </w:sectPr>
      </w:pPr>
    </w:p>
    <w:p>
      <w:pPr>
        <w:pStyle w:val="3"/>
        <w:jc w:val="center"/>
        <w:rPr>
          <w:rFonts w:ascii="宋体" w:hAnsi="宋体" w:eastAsia="宋体" w:cs="宋体"/>
          <w:sz w:val="36"/>
          <w:szCs w:val="36"/>
        </w:rPr>
      </w:pPr>
      <w:bookmarkStart w:id="153" w:name="四、投标设备数量、价格表"/>
      <w:bookmarkEnd w:id="153"/>
      <w:bookmarkStart w:id="154" w:name="_Toc29472"/>
      <w:r>
        <w:rPr>
          <w:rFonts w:hint="eastAsia" w:ascii="宋体" w:hAnsi="宋体" w:eastAsia="宋体" w:cs="宋体"/>
          <w:sz w:val="36"/>
          <w:szCs w:val="36"/>
        </w:rPr>
        <w:t>三、投标保证金</w:t>
      </w:r>
      <w:bookmarkEnd w:id="154"/>
    </w:p>
    <w:p>
      <w:pPr>
        <w:pStyle w:val="12"/>
        <w:spacing w:before="11"/>
        <w:rPr>
          <w:sz w:val="32"/>
        </w:rPr>
      </w:pPr>
    </w:p>
    <w:p>
      <w:pPr>
        <w:pStyle w:val="7"/>
        <w:ind w:left="0" w:right="1153" w:firstLine="0"/>
        <w:jc w:val="center"/>
      </w:pPr>
      <w:r>
        <w:rPr>
          <w:rFonts w:hint="eastAsia"/>
        </w:rPr>
        <w:t xml:space="preserve">           附年金缴纳凭证或银行汇款或工程保函等凭证</w:t>
      </w:r>
    </w:p>
    <w:p>
      <w:pPr>
        <w:jc w:val="center"/>
        <w:sectPr>
          <w:pgSz w:w="11910" w:h="16840"/>
          <w:pgMar w:top="1500" w:right="600" w:bottom="1180" w:left="880" w:header="0" w:footer="993" w:gutter="0"/>
          <w:pgNumType w:fmt="decimal"/>
          <w:cols w:space="720" w:num="1"/>
        </w:sectPr>
      </w:pPr>
    </w:p>
    <w:p>
      <w:pPr>
        <w:jc w:val="center"/>
        <w:rPr>
          <w:rFonts w:hint="eastAsia" w:ascii="宋体" w:hAnsi="宋体" w:eastAsia="宋体" w:cs="宋体"/>
          <w:b/>
          <w:bCs/>
        </w:rPr>
      </w:pPr>
      <w:r>
        <w:rPr>
          <w:rFonts w:hint="eastAsia"/>
          <w:b/>
          <w:bCs/>
          <w:sz w:val="36"/>
          <w:szCs w:val="36"/>
        </w:rPr>
        <w:t>四、投标报价明细表</w:t>
      </w:r>
      <w:bookmarkStart w:id="155" w:name="_Toc21768"/>
    </w:p>
    <w:bookmarkEnd w:id="155"/>
    <w:tbl>
      <w:tblPr>
        <w:tblStyle w:val="27"/>
        <w:tblW w:w="5181" w:type="pct"/>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752"/>
        <w:gridCol w:w="3397"/>
        <w:gridCol w:w="1611"/>
        <w:gridCol w:w="1370"/>
        <w:gridCol w:w="646"/>
        <w:gridCol w:w="859"/>
        <w:gridCol w:w="840"/>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序号</w:t>
            </w:r>
          </w:p>
        </w:tc>
        <w:tc>
          <w:tcPr>
            <w:tcW w:w="752"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名称</w:t>
            </w:r>
          </w:p>
        </w:tc>
        <w:tc>
          <w:tcPr>
            <w:tcW w:w="3397"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技术规格、型号等</w:t>
            </w:r>
          </w:p>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的详细描述</w:t>
            </w:r>
          </w:p>
        </w:tc>
        <w:tc>
          <w:tcPr>
            <w:tcW w:w="1611" w:type="dxa"/>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参考样式</w:t>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单位</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数量</w:t>
            </w:r>
          </w:p>
        </w:tc>
        <w:tc>
          <w:tcPr>
            <w:tcW w:w="85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单价（元）</w:t>
            </w: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4"/>
                <w:szCs w:val="24"/>
              </w:rPr>
            </w:pPr>
            <w:r>
              <w:rPr>
                <w:rFonts w:hint="eastAsia" w:ascii="宋体" w:hAnsi="宋体" w:eastAsia="宋体" w:cs="宋体"/>
                <w:b/>
                <w:bCs/>
                <w:i w:val="0"/>
                <w:iCs w:val="0"/>
                <w:color w:val="000000"/>
                <w:kern w:val="0"/>
                <w:sz w:val="24"/>
                <w:szCs w:val="24"/>
                <w:u w:val="none"/>
                <w:lang w:val="en-US" w:eastAsia="zh-CN" w:bidi="ar"/>
              </w:rPr>
              <w:t>合价（元）</w:t>
            </w:r>
          </w:p>
        </w:tc>
        <w:tc>
          <w:tcPr>
            <w:tcW w:w="1089" w:type="dxa"/>
            <w:vAlign w:val="center"/>
          </w:tcPr>
          <w:p>
            <w:pPr>
              <w:keepNext w:val="0"/>
              <w:keepLines w:val="0"/>
              <w:widowControl/>
              <w:suppressLineNumbers w:val="0"/>
              <w:jc w:val="center"/>
              <w:textAlignment w:val="center"/>
              <w:rPr>
                <w:rFonts w:hint="default" w:ascii="宋体" w:hAnsi="宋体" w:eastAsia="宋体" w:cs="宋体"/>
                <w:color w:val="000000"/>
                <w:kern w:val="0"/>
                <w:sz w:val="24"/>
                <w:szCs w:val="24"/>
                <w:lang w:val="en-US"/>
              </w:rPr>
            </w:pPr>
            <w:r>
              <w:rPr>
                <w:rFonts w:hint="eastAsia" w:ascii="宋体" w:hAnsi="宋体" w:eastAsia="宋体" w:cs="宋体"/>
                <w:b/>
                <w:bCs/>
                <w:i w:val="0"/>
                <w:iCs w:val="0"/>
                <w:color w:val="000000"/>
                <w:kern w:val="0"/>
                <w:sz w:val="24"/>
                <w:szCs w:val="24"/>
                <w:highlight w:val="cyan"/>
                <w:u w:val="none"/>
                <w:lang w:val="en-US" w:eastAsia="zh-CN" w:bidi="ar"/>
              </w:rPr>
              <w:t>品牌/厂制品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33" w:type="dxa"/>
            <w:gridSpan w:val="9"/>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1"/>
                <w:szCs w:val="21"/>
                <w:u w:val="none"/>
                <w:lang w:val="en-US" w:eastAsia="zh-CN" w:bidi="ar"/>
              </w:rPr>
              <w:t>A01A更衣室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更衣柜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1、名称：更衣柜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*顶板、层板、底板、侧板及面板采用1.2mm厚不锈钢板制作；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2、参考规格：700*450*1800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53795" cy="828675"/>
                  <wp:effectExtent l="0" t="0" r="444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rcRect/>
                          <a:stretch>
                            <a:fillRect/>
                          </a:stretch>
                        </pic:blipFill>
                        <pic:spPr>
                          <a:xfrm>
                            <a:off x="0" y="0"/>
                            <a:ext cx="1153795"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cyan"/>
                <w:u w:val="none"/>
                <w:lang w:val="en-US" w:eastAsia="zh-CN" w:bidi="ar"/>
              </w:rPr>
              <w:t>9</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033" w:type="dxa"/>
            <w:gridSpan w:val="9"/>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1"/>
                <w:szCs w:val="21"/>
                <w:u w:val="none"/>
                <w:lang w:val="en-US" w:eastAsia="zh-CN" w:bidi="ar"/>
              </w:rPr>
              <w:t>B检验室及收货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单通工作台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1、名称：单通工作台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535940</wp:posOffset>
                  </wp:positionV>
                  <wp:extent cx="1181100" cy="828675"/>
                  <wp:effectExtent l="0" t="0" r="7620" b="9525"/>
                  <wp:wrapNone/>
                  <wp:docPr id="16" name="Picture_4"/>
                  <wp:cNvGraphicFramePr/>
                  <a:graphic xmlns:a="http://schemas.openxmlformats.org/drawingml/2006/main">
                    <a:graphicData uri="http://schemas.openxmlformats.org/drawingml/2006/picture">
                      <pic:pic xmlns:pic="http://schemas.openxmlformats.org/drawingml/2006/picture">
                        <pic:nvPicPr>
                          <pic:cNvPr id="16" name="Picture_4"/>
                          <pic:cNvPicPr/>
                        </pic:nvPicPr>
                        <pic:blipFill>
                          <a:blip r:embed="rId13"/>
                          <a:stretch>
                            <a:fillRect/>
                          </a:stretch>
                        </pic:blipFill>
                        <pic:spPr>
                          <a:xfrm>
                            <a:off x="0" y="0"/>
                            <a:ext cx="1181100" cy="828675"/>
                          </a:xfrm>
                          <a:prstGeom prst="rect">
                            <a:avLst/>
                          </a:prstGeom>
                          <a:noFill/>
                          <a:ln>
                            <a:noFill/>
                          </a:ln>
                        </pic:spPr>
                      </pic:pic>
                    </a:graphicData>
                  </a:graphic>
                </wp:anchor>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单星工作柜（左星）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1、名称：单星工作柜（左星）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2、参考规格：1800*700*800+150</w:t>
            </w:r>
          </w:p>
        </w:tc>
        <w:tc>
          <w:tcPr>
            <w:tcW w:w="1611" w:type="dxa"/>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-51435</wp:posOffset>
                  </wp:positionH>
                  <wp:positionV relativeFrom="paragraph">
                    <wp:posOffset>651510</wp:posOffset>
                  </wp:positionV>
                  <wp:extent cx="1181100" cy="828675"/>
                  <wp:effectExtent l="0" t="0" r="7620" b="9525"/>
                  <wp:wrapNone/>
                  <wp:docPr id="17" name="Picture_5"/>
                  <wp:cNvGraphicFramePr/>
                  <a:graphic xmlns:a="http://schemas.openxmlformats.org/drawingml/2006/main">
                    <a:graphicData uri="http://schemas.openxmlformats.org/drawingml/2006/picture">
                      <pic:pic xmlns:pic="http://schemas.openxmlformats.org/drawingml/2006/picture">
                        <pic:nvPicPr>
                          <pic:cNvPr id="17" name="Picture_5"/>
                          <pic:cNvPicPr/>
                        </pic:nvPicPr>
                        <pic:blipFill>
                          <a:blip r:embed="rId14"/>
                          <a:stretch>
                            <a:fillRect/>
                          </a:stretch>
                        </pic:blipFill>
                        <pic:spPr>
                          <a:xfrm>
                            <a:off x="0" y="0"/>
                            <a:ext cx="1181100" cy="828675"/>
                          </a:xfrm>
                          <a:prstGeom prst="rect">
                            <a:avLst/>
                          </a:prstGeom>
                          <a:noFill/>
                          <a:ln>
                            <a:noFill/>
                          </a:ln>
                        </pic:spPr>
                      </pic:pic>
                    </a:graphicData>
                  </a:graphic>
                </wp:anchor>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双温四门高身柜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1、名称：双温四门高身柜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温度范围：0~15/-22~-18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2、参考规格：1200*760*2000</w:t>
            </w:r>
          </w:p>
        </w:tc>
        <w:tc>
          <w:tcPr>
            <w:tcW w:w="1611" w:type="dxa"/>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-34925</wp:posOffset>
                  </wp:positionH>
                  <wp:positionV relativeFrom="paragraph">
                    <wp:posOffset>622935</wp:posOffset>
                  </wp:positionV>
                  <wp:extent cx="1181100" cy="828675"/>
                  <wp:effectExtent l="0" t="0" r="7620" b="9525"/>
                  <wp:wrapNone/>
                  <wp:docPr id="18" name="Picture_6"/>
                  <wp:cNvGraphicFramePr/>
                  <a:graphic xmlns:a="http://schemas.openxmlformats.org/drawingml/2006/main">
                    <a:graphicData uri="http://schemas.openxmlformats.org/drawingml/2006/picture">
                      <pic:pic xmlns:pic="http://schemas.openxmlformats.org/drawingml/2006/picture">
                        <pic:nvPicPr>
                          <pic:cNvPr id="18" name="Picture_6"/>
                          <pic:cNvPicPr/>
                        </pic:nvPicPr>
                        <pic:blipFill>
                          <a:blip r:embed="rId15"/>
                          <a:stretch>
                            <a:fillRect/>
                          </a:stretch>
                        </pic:blipFill>
                        <pic:spPr>
                          <a:xfrm>
                            <a:off x="0" y="0"/>
                            <a:ext cx="1181100" cy="828675"/>
                          </a:xfrm>
                          <a:prstGeom prst="rect">
                            <a:avLst/>
                          </a:prstGeom>
                          <a:noFill/>
                          <a:ln>
                            <a:noFill/>
                          </a:ln>
                        </pic:spPr>
                      </pic:pic>
                    </a:graphicData>
                  </a:graphic>
                </wp:anchor>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电子秤</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1、名称：电子秤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-规格：FHT-50kg*2g,FHT-75kg*5g,FHT-150kg*10g,FHT-300kg*20g,FHT-100kg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-显示方式：数码管显示[LED]</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-测量范围：1（kg）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-最大（小）称量：20g-300kg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-单位重量：45kg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2、参考规格：400*500*850</w:t>
            </w:r>
          </w:p>
        </w:tc>
        <w:tc>
          <w:tcPr>
            <w:tcW w:w="1611" w:type="dxa"/>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-66675</wp:posOffset>
                  </wp:positionH>
                  <wp:positionV relativeFrom="paragraph">
                    <wp:posOffset>458470</wp:posOffset>
                  </wp:positionV>
                  <wp:extent cx="1181100" cy="828675"/>
                  <wp:effectExtent l="0" t="0" r="7620" b="9525"/>
                  <wp:wrapNone/>
                  <wp:docPr id="19" name="Picture_7"/>
                  <wp:cNvGraphicFramePr/>
                  <a:graphic xmlns:a="http://schemas.openxmlformats.org/drawingml/2006/main">
                    <a:graphicData uri="http://schemas.openxmlformats.org/drawingml/2006/picture">
                      <pic:pic xmlns:pic="http://schemas.openxmlformats.org/drawingml/2006/picture">
                        <pic:nvPicPr>
                          <pic:cNvPr id="19" name="Picture_7"/>
                          <pic:cNvPicPr/>
                        </pic:nvPicPr>
                        <pic:blipFill>
                          <a:blip r:embed="rId16"/>
                          <a:stretch>
                            <a:fillRect/>
                          </a:stretch>
                        </pic:blipFill>
                        <pic:spPr>
                          <a:xfrm>
                            <a:off x="0" y="0"/>
                            <a:ext cx="1181100" cy="828675"/>
                          </a:xfrm>
                          <a:prstGeom prst="rect">
                            <a:avLst/>
                          </a:prstGeom>
                          <a:noFill/>
                          <a:ln>
                            <a:noFill/>
                          </a:ln>
                        </pic:spPr>
                      </pic:pic>
                    </a:graphicData>
                  </a:graphic>
                </wp:anchor>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21" w:type="dxa"/>
            <w:gridSpan w:val="2"/>
            <w:shd w:val="clear" w:color="auto" w:fill="auto"/>
            <w:noWrap/>
            <w:vAlign w:val="center"/>
          </w:tcPr>
          <w:p>
            <w:pPr>
              <w:jc w:val="center"/>
              <w:rPr>
                <w:rFonts w:hint="eastAsia" w:ascii="宋体" w:hAnsi="宋体" w:eastAsia="宋体" w:cs="宋体"/>
                <w:i w:val="0"/>
                <w:iCs w:val="0"/>
                <w:color w:val="000000"/>
                <w:kern w:val="0"/>
                <w:sz w:val="21"/>
                <w:szCs w:val="21"/>
                <w:u w:val="none"/>
                <w:lang w:val="en-US" w:eastAsia="zh-CN" w:bidi="ar"/>
              </w:rPr>
            </w:pPr>
          </w:p>
        </w:tc>
        <w:tc>
          <w:tcPr>
            <w:tcW w:w="9812" w:type="dxa"/>
            <w:gridSpan w:val="7"/>
            <w:shd w:val="clear" w:color="auto" w:fill="auto"/>
            <w:noWrap/>
            <w:vAlign w:val="center"/>
          </w:tcPr>
          <w:p>
            <w:pPr>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C加工间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挂墙单层板带挂钩</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1、名称：挂墙单层板带挂钩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*层板、侧板、立柱采用1.2mm厚不锈钢板制作，层板下面加有补强撑隔板。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2、参考规格：3400*375*250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挂墙单层板带挂钩</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1、名称：挂墙单层板带挂钩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*层板、侧板、立柱采用1.2mm厚不锈钢板制作，层板下面加有补强撑隔板。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2、参考规格：3600*375*250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1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挂墙单层板带挂钩</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1、名称：挂墙单层板带挂钩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*层板、侧板、立柱采用1.2mm厚不锈钢板制作，层板下面加有补强撑隔板。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2、参考规格：2100*400*250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1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大单星盆水池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1、名称：大单星盆水池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*星斗尺寸：800*500*280mm；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1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简易工作台下栅格带靠背</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1、名称：简易工作台下栅格带靠背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1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肉丝肉片机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1、名称：肉丝肉片机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*厚度1.2mm，不锈钢进口刀片，电机220V/2.2KW.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2、参考规格：650*650*850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pic:cNvPicPr>
                            <a:picLocks noChangeAspect="1"/>
                          </pic:cNvPicPr>
                        </pic:nvPicPr>
                        <pic:blipFill>
                          <a:blip r:embed="rId2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四层栅格层架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1、名称：四层栅格层架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*格栅采用38×25×0.8mm厚不锈钢方管；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*立柱采用38×38×1.2mm厚不锈钢方管；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2、参考规格：1800*700*800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2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单温高压花洒龙头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1、名称：单温高压花洒龙头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2、产品重量：4.9kg，产品工艺：重力压塑，喷阀流量：1.42GPM，开孔尺寸：32mm，进水口：4分进水口；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3、花洒龙头主体、底座采用黄铜打造而成耐腐蚀耐磨、健康无铅；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4、全铜螺杆阀芯设计，带止回阀有效防止漏水；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5、3道过滤系统，有效过滤水中杂质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6、适用：厨房、洗碗机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7、参考规格：80*520*1050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中单星杀鱼台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1、名称：中单星杀鱼台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*整体采用SUS304不锈钢制作，台面厚1.2mm；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*星盆斗厚1.2mm，星盆斗尺寸：500*500*280mm，配置提篮式不锈钢下水器；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*立柱采用?48*1.2mm圆通，配不锈钢可调子弹脚；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*横撑采用?32*1.2mm圆通；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2、参考规格：2000*760*800+150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pic:cNvPicPr>
                            <a:picLocks noChangeAspect="1"/>
                          </pic:cNvPicPr>
                        </pic:nvPicPr>
                        <pic:blipFill>
                          <a:blip r:embed="rId2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土豆脱皮机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1、名称：土豆脱皮机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生产能力8kg/2min。机重：75KG 规格：350型  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2、参考规格：640*680*800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pic:cNvPicPr>
                        </pic:nvPicPr>
                        <pic:blipFill>
                          <a:blip r:embed="rId2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刀具消毒柜140</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1、名称：刀具消毒柜140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-304食品级不锈钢制作；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-360度紫外线辐射，可放8~10把刀，120分钟定时器；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-带有钥匙锁具，可挂墙，防辐射有机玻璃门；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2、参考规格：538×138×648</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15035" cy="617220"/>
                  <wp:effectExtent l="0" t="0" r="14605" b="762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pic:cNvPicPr>
                            <a:picLocks noChangeAspect="1"/>
                          </pic:cNvPicPr>
                        </pic:nvPicPr>
                        <pic:blipFill>
                          <a:blip r:embed="rId27"/>
                          <a:srcRect/>
                          <a:stretch>
                            <a:fillRect/>
                          </a:stretch>
                        </pic:blipFill>
                        <pic:spPr>
                          <a:xfrm>
                            <a:off x="0" y="0"/>
                            <a:ext cx="915035" cy="617220"/>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双温四门高身柜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1、名称：双温四门高身柜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温度范围：0~15/-22~-18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2、参考规格：1200*760*2000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2"/>
                          <pic:cNvPicPr>
                            <a:picLocks noChangeAspect="1"/>
                          </pic:cNvPicPr>
                        </pic:nvPicPr>
                        <pic:blipFill>
                          <a:blip r:embed="rId2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sz w:val="21"/>
                <w:szCs w:val="21"/>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1089" w:type="dxa"/>
            <w:shd w:val="clear" w:color="auto" w:fill="auto"/>
            <w:noWrap/>
            <w:vAlign w:val="center"/>
          </w:tcPr>
          <w:p>
            <w:pPr>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2、参考规格：1200*700*800+150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全能切菜机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1、名称：全能切菜机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采用变频器独立控制多功能集成设计控制面板，操作简单；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可切各种瓜果、蔬菜、药材，结构合理，一机多用；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由输送带输送到刀口，并将其切成片、斜片；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产量：300-1000Kg/h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电源电压：交流380V，50Hz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2、参考规格：1250*600*1300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4"/>
                          <pic:cNvPicPr>
                            <a:picLocks noChangeAspect="1"/>
                          </pic:cNvPicPr>
                        </pic:nvPicPr>
                        <pic:blipFill>
                          <a:blip r:embed="rId3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D主厨房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炉拼台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1、名称：炉拼台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优质304#不锈钢磨砂板，面板1.5mm、侧板1.2mm；置高**mm不锈钢后挡炉背板；横通采用￠25*1.2mm不锈钢管连接，立管采用￠38*1.2mm不锈钢管连可调节高度子弹脚。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2、参考规格：300*1200*800+450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5"/>
                          <pic:cNvPicPr>
                            <a:picLocks noChangeAspect="1"/>
                          </pic:cNvPicPr>
                        </pic:nvPicPr>
                        <pic:blipFill>
                          <a:blip r:embed="rId3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双头大锅灶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1、名称：双头大锅灶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-炉架40×40角铁；配耐火砖及硅酸铝耐火材料；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-脚φ48厚壁铁管外套φ50不锈钢管，连不锈钢可调节脚；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-配助燃鼓风机、节能炉芯、摇摆龙头；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-灶圈口径φ700×2，带熄火保护装置；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-额定热流量：90KW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-燃气压力：2000Pa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-燃气种类：天然气（12T）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-接驳口径：DN40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-接驳高度：250mm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 功率/电压：500W/220V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2、参考规格：2200*1200*800+450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6"/>
                          <pic:cNvPicPr>
                            <a:picLocks noChangeAspect="1"/>
                          </pic:cNvPicPr>
                        </pic:nvPicPr>
                        <pic:blipFill>
                          <a:blip r:embed="rId3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w:t>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2、参考规格：2200*1000*800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7"/>
                          <pic:cNvPicPr>
                            <a:picLocks noChangeAspect="1"/>
                          </pic:cNvPicPr>
                        </pic:nvPicPr>
                        <pic:blipFill>
                          <a:blip r:embed="rId3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双温四门高身柜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1、名称：双温四门高身柜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温度范围：0~15/-22~-18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2、参考规格：1200*760*2000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74750" cy="828675"/>
                  <wp:effectExtent l="0" t="0" r="13970" b="9525"/>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28"/>
                          <a:srcRect/>
                          <a:stretch>
                            <a:fillRect/>
                          </a:stretch>
                        </pic:blipFill>
                        <pic:spPr>
                          <a:xfrm>
                            <a:off x="0" y="0"/>
                            <a:ext cx="117475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米面架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1、名称：米面架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*横柱用38×25×0.8mm厚不锈钢；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*立柱采用38×38×1.2mm厚不锈钢；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*配置塑胶脚垫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2、参考规格：1000*600*150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3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厨房消防系统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1、名称：厨房消防系统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 xml:space="preserve">-灭火系统应对厨房内的明火区域有扑灭及抑制能力，保护煮食炉具。灭火系统亦应有保护炉具上的通风系统连油烟罩及隔油网能力，该设备启动方式有自动启动、手动启动和应急启动功能。                                                                                           </w:t>
            </w:r>
            <w:r>
              <w:rPr>
                <w:rFonts w:hint="eastAsia" w:ascii="宋体" w:hAnsi="宋体" w:eastAsia="宋体" w:cs="宋体"/>
                <w:i w:val="0"/>
                <w:iCs w:val="0"/>
                <w:color w:val="000000"/>
                <w:kern w:val="0"/>
                <w:sz w:val="20"/>
                <w:szCs w:val="20"/>
                <w:highlight w:val="cyan"/>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-具有国家固定灭火系统和耐火构件质量监督检验中心出具的产品型式检验报告；</w:t>
            </w:r>
            <w:r>
              <w:rPr>
                <w:rFonts w:hint="eastAsia" w:ascii="宋体" w:hAnsi="宋体" w:eastAsia="宋体" w:cs="宋体"/>
                <w:i w:val="0"/>
                <w:iCs w:val="0"/>
                <w:color w:val="000000"/>
                <w:kern w:val="0"/>
                <w:sz w:val="20"/>
                <w:szCs w:val="20"/>
                <w:highlight w:val="cyan"/>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-具有省级消防研究所出具的灭火性能效率：灭火时间≤1.8s秒的检测报告；</w:t>
            </w:r>
            <w:r>
              <w:rPr>
                <w:rFonts w:hint="eastAsia" w:ascii="宋体" w:hAnsi="宋体" w:eastAsia="宋体" w:cs="宋体"/>
                <w:i w:val="0"/>
                <w:iCs w:val="0"/>
                <w:color w:val="000000"/>
                <w:kern w:val="0"/>
                <w:sz w:val="20"/>
                <w:szCs w:val="20"/>
                <w:highlight w:val="cyan"/>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-灭火药剂具有省一级疾控中心出具的毒性报告；</w:t>
            </w:r>
            <w:r>
              <w:rPr>
                <w:rFonts w:hint="eastAsia" w:ascii="宋体" w:hAnsi="宋体" w:eastAsia="宋体" w:cs="宋体"/>
                <w:i w:val="0"/>
                <w:iCs w:val="0"/>
                <w:color w:val="000000"/>
                <w:kern w:val="0"/>
                <w:sz w:val="20"/>
                <w:szCs w:val="20"/>
                <w:highlight w:val="cyan"/>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-所投灭火装置具有一体式声光报警功能，内部和外部音响器件的声压级应分别在65dB和85dB以上，115dB以下；</w:t>
            </w:r>
            <w:r>
              <w:rPr>
                <w:rFonts w:hint="eastAsia" w:ascii="宋体" w:hAnsi="宋体" w:eastAsia="宋体" w:cs="宋体"/>
                <w:i w:val="0"/>
                <w:iCs w:val="0"/>
                <w:color w:val="000000"/>
                <w:kern w:val="0"/>
                <w:sz w:val="20"/>
                <w:szCs w:val="20"/>
                <w:highlight w:val="cyan"/>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-灭火系统密封件卡压垫片通过GB/T2423.2—2008高温实验的检测报告。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-双瓶装。</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1"/>
                          <pic:cNvPicPr>
                            <a:picLocks noChangeAspect="1"/>
                          </pic:cNvPicPr>
                        </pic:nvPicPr>
                        <pic:blipFill>
                          <a:blip r:embed="rId3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三门海鲜蒸柜(燃气)</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1、名称：三门海鲜蒸柜(燃气)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-蒸腔δ=1.2mm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-脚Φ48厚壁铁管外套Φ50不锈钢管；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-配节能蒸汽发生器内胆δ=1.5mm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-选用高端电气配件，先进热传导技术，设置多重安全保护装置，一键式启动；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-水容量小于14kg, 工作压力0.085Mpa,热效率达到92%以上，设超压保护装置；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-不列入国家锅炉管理政策，免年检，使用节能高效、安全方便；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-共三格四盘，每层独立控制，水箱自动进水、补水、配优质硅胶密封条；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-额定热流量：60KW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-燃气压力：2000Pa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-燃气种类：天然气（12T）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-接驳口径：DN25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-接驳高度：250mm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-蒸汽量：70m³/h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 功率/电压：120W/220V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2、参考规格：1000*1000*1900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
                          <pic:cNvPicPr>
                            <a:picLocks noChangeAspect="1"/>
                          </pic:cNvPicPr>
                        </pic:nvPicPr>
                        <pic:blipFill>
                          <a:blip r:embed="rId3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座地式800电磁炒菜机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1、名称：座地式800电磁炒菜机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-材质：整机外壳304#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-滚筒：Φ700*H700mm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-滚筒炒菜容量：15-30kg/T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-滚筒材质：443#不锈钢选装不粘锅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-显示屏：10寸多功能触模显示屏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-翻锅方式：电控翻锅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-安全防护：带急停功能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-测温：红外线测试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-菜单：存储800个菜谱（智能学习功能）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-语音：智能实时语音播报功能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-喷料：自动摆臂四路喷料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-接料盘：抽拉式接料盘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-置物架：两侧箱体顶部带置物架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-清洁喷枪：优质高压喷枪（配2米软管）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2、参考规格：1310*1740*1390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3"/>
                          <pic:cNvPicPr>
                            <a:picLocks noChangeAspect="1"/>
                          </pic:cNvPicPr>
                        </pic:nvPicPr>
                        <pic:blipFill>
                          <a:blip r:embed="rId3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广式煲仔炉（6头）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1、名称：广式煲仔炉（6头）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-配文华炉头及方钢炉栅，带长明火装置；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-脚管φ38×1.0mm ，配有可调子弹脚；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-额定热流量：6×4.5KW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-燃气压力：2000Pa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-燃气种类：天然气（12T）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-接驳口径：DN20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-接驳高度：250mm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2、参考规格：800*1200*800+450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866775" cy="828675"/>
                  <wp:effectExtent l="0" t="0" r="1905" b="9525"/>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4"/>
                          <pic:cNvPicPr>
                            <a:picLocks noChangeAspect="1"/>
                          </pic:cNvPicPr>
                        </pic:nvPicPr>
                        <pic:blipFill>
                          <a:blip r:embed="rId38"/>
                          <a:srcRect/>
                          <a:stretch>
                            <a:fillRect/>
                          </a:stretch>
                        </pic:blipFill>
                        <pic:spPr>
                          <a:xfrm>
                            <a:off x="0" y="0"/>
                            <a:ext cx="866775"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双头单尾小炒灶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1、名称：双头单尾小炒灶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-炉架40×40角铁；配耐火砖及硅酸铝耐火材料；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-脚φ48厚壁铁管外套φ50不锈钢管，连不锈钢可调节脚；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-配助燃鼓风机、节能炉芯、摇摆龙头；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-灶圈口径φ330×2，带熄火保护装置；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-额定热流量：70KW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-燃气压力：2000Pa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-燃气种类：天然气（12T）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-接驳口径：DN40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-接驳高度：250mm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 功率/电压：360W/220V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2、参考规格：1800*1200*800+450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5"/>
                          <pic:cNvPicPr>
                            <a:picLocks noChangeAspect="1"/>
                          </pic:cNvPicPr>
                        </pic:nvPicPr>
                        <pic:blipFill>
                          <a:blip r:embed="rId3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双通工作台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1、名称：双通工作台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2、参考规格：2000*1000*800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6"/>
                          <pic:cNvPicPr>
                            <a:picLocks noChangeAspect="1"/>
                          </pic:cNvPicPr>
                        </pic:nvPicPr>
                        <pic:blipFill>
                          <a:blip r:embed="rId4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简易工作台下栅格带靠背</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1、名称：简易工作台下栅格带靠背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2、参考规格：1600*760*800+150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7"/>
                          <pic:cNvPicPr>
                            <a:picLocks noChangeAspect="1"/>
                          </pic:cNvPicPr>
                        </pic:nvPicPr>
                        <pic:blipFill>
                          <a:blip r:embed="rId1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9"/>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装饰板</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2、参考规格：200*35*1000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0"/>
                          <pic:cNvPicPr>
                            <a:picLocks noChangeAspect="1"/>
                          </pic:cNvPicPr>
                        </pic:nvPicPr>
                        <pic:blipFill>
                          <a:blip r:embed="rId4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装饰板</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2、参考规格：6900*35*1000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0"/>
                          <pic:cNvPicPr>
                            <a:picLocks noChangeAspect="1"/>
                          </pic:cNvPicPr>
                        </pic:nvPicPr>
                        <pic:blipFill>
                          <a:blip r:embed="rId4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E流食厨房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2"/>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简易工作台下栅格带靠背</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1、名称：简易工作台下栅格带靠背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3"/>
                          <pic:cNvPicPr>
                            <a:picLocks noChangeAspect="1"/>
                          </pic:cNvPicPr>
                        </pic:nvPicPr>
                        <pic:blipFill>
                          <a:blip r:embed="rId1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4"/>
                          <pic:cNvPicPr>
                            <a:picLocks noChangeAspect="1"/>
                          </pic:cNvPicPr>
                        </pic:nvPicPr>
                        <pic:blipFill>
                          <a:blip r:embed="rId4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座地式700电磁炒菜机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1、名称：座地式700电磁炒菜机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-材质：整机外壳304#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-电压：380V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-滚筒：Φ700*H700mm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-滚筒炒菜容量：15-30kg/T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-滚筒材质：443#不锈钢选装不粘锅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-显示屏：10寸多功能触模显示屏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-翻锅方式：电控翻锅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-安全防护：带急停功能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-测温：红外线测试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-菜单：</w:t>
            </w:r>
            <w:r>
              <w:rPr>
                <w:rFonts w:hint="eastAsia" w:ascii="宋体" w:hAnsi="宋体" w:eastAsia="宋体" w:cs="宋体"/>
                <w:i w:val="0"/>
                <w:iCs w:val="0"/>
                <w:color w:val="000000"/>
                <w:kern w:val="0"/>
                <w:sz w:val="20"/>
                <w:szCs w:val="20"/>
                <w:highlight w:val="cyan"/>
                <w:u w:val="none"/>
                <w:lang w:val="en-US" w:eastAsia="zh-CN" w:bidi="ar"/>
              </w:rPr>
              <w:t>存储不少于800个菜谱（智能学习功能）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-语音：智能实时语音播报功能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-喷料：自动摆臂四路喷料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-接料盘：抽拉式接料盘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-置物架：两侧箱体顶部带置物架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-清洁喷枪：优质高压喷枪（配2米软管）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2、参考规格：1310*1740*1390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5"/>
                          <pic:cNvPicPr>
                            <a:picLocks noChangeAspect="1"/>
                          </pic:cNvPicPr>
                        </pic:nvPicPr>
                        <pic:blipFill>
                          <a:blip r:embed="rId3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双头双尾小炒灶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1、名称：双头双尾小炒灶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-炉架40×40角铁；配耐火砖及硅酸铝耐火材料；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-脚φ48厚壁铁管外套φ50不锈钢管，连不锈钢可调节脚；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-配助燃鼓风机、节能炉芯、摇摆龙头；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-灶圈口径φ330×2，带熄火保护装置；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-额定热流量：70KW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-燃气压力：2000Pa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-燃气种类：天然气（12T）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-接驳口径：DN40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-接驳高度：250mm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 功率/电压：360W/220V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2、参考规格：2200*1100*800+450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6"/>
                          <pic:cNvPicPr>
                            <a:picLocks noChangeAspect="1"/>
                          </pic:cNvPicPr>
                        </pic:nvPicPr>
                        <pic:blipFill>
                          <a:blip r:embed="rId4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双门蒸饭柜(燃气)</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1951355</wp:posOffset>
                  </wp:positionH>
                  <wp:positionV relativeFrom="paragraph">
                    <wp:posOffset>561975</wp:posOffset>
                  </wp:positionV>
                  <wp:extent cx="1181100" cy="828675"/>
                  <wp:effectExtent l="0" t="0" r="7620" b="9525"/>
                  <wp:wrapNone/>
                  <wp:docPr id="56" name="Picture_47"/>
                  <wp:cNvGraphicFramePr/>
                  <a:graphic xmlns:a="http://schemas.openxmlformats.org/drawingml/2006/main">
                    <a:graphicData uri="http://schemas.openxmlformats.org/drawingml/2006/picture">
                      <pic:pic xmlns:pic="http://schemas.openxmlformats.org/drawingml/2006/picture">
                        <pic:nvPicPr>
                          <pic:cNvPr id="56" name="Picture_47"/>
                          <pic:cNvPicPr/>
                        </pic:nvPicPr>
                        <pic:blipFill>
                          <a:blip r:embed="rId45"/>
                          <a:stretch>
                            <a:fillRect/>
                          </a:stretch>
                        </pic:blipFill>
                        <pic:spPr>
                          <a:xfrm>
                            <a:off x="0" y="0"/>
                            <a:ext cx="1181100" cy="8286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1、名称：双门蒸饭柜(燃气)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-内胆δ=1.2mm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-内部骨架均采用不锈钢型钢焊接；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-内置B1级阻燃隔热保温板双层保温；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-配燃气燃烧系统，可以单门独立使用；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-自动进补水，配模压饭盘24只；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-带熄火保护装置；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-额定热流量：2×25KW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-燃气压力：2000Pa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-燃气种类：天然气（12T）</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-接驳口径：DN20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-接驳高度：150mm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2、参考规格：1200*900*1800</w:t>
            </w:r>
          </w:p>
        </w:tc>
        <w:tc>
          <w:tcPr>
            <w:tcW w:w="1611" w:type="dxa"/>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FF0000"/>
                <w:kern w:val="2"/>
                <w:sz w:val="22"/>
                <w:szCs w:val="22"/>
                <w:u w:val="none"/>
                <w:lang w:val="en-US" w:eastAsia="zh-CN" w:bidi="ar-SA"/>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8"/>
                          <pic:cNvPicPr>
                            <a:picLocks noChangeAspect="1"/>
                          </pic:cNvPicPr>
                        </pic:nvPicPr>
                        <pic:blipFill>
                          <a:blip r:embed="rId4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双温四门高身柜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1、名称：双温四门高身柜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温度范围：0~15/-22~-18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2、参考规格：1200*760*2000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9"/>
                          <pic:cNvPicPr>
                            <a:picLocks noChangeAspect="1"/>
                          </pic:cNvPicPr>
                        </pic:nvPicPr>
                        <pic:blipFill>
                          <a:blip r:embed="rId2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9"/>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厨房消防系统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1、名称：厨房消防系统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-灭火系统应对厨房内的明火区域有扑灭及抑制能力，保护煮食炉具。灭火系统亦应有保护炉具上的通风系统连油烟罩及隔油网能力，该设备启动方式有自动启动、手动启动和应急启动功能。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-具有国家固定灭火系统和耐火构件质量监督检验中心出具的产品型式检验报告；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-具有省级消防研究所出具的灭火性能效率：灭火时间≤1.8s秒的检测报告；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-灭火药剂具有省一级疾控中心出具的毒性报告；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-所投灭火装置具有一体式声光报警功能，内部和外部音响器件的声压级应分别在65dB和85dB以上，115dB以下；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-灭火系统密封件卡压垫片通过GB/T2423.2—2008高温实验的检测报告。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-双瓶装。</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0"/>
                          <pic:cNvPicPr>
                            <a:picLocks noChangeAspect="1"/>
                          </pic:cNvPicPr>
                        </pic:nvPicPr>
                        <pic:blipFill>
                          <a:blip r:embed="rId3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装饰板</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2、参考规格：1420*35*1000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1"/>
                          <pic:cNvPicPr>
                            <a:picLocks noChangeAspect="1"/>
                          </pic:cNvPicPr>
                        </pic:nvPicPr>
                        <pic:blipFill>
                          <a:blip r:embed="rId4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装饰板</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2、参考规格：5400*35*1000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1"/>
                          <pic:cNvPicPr>
                            <a:picLocks noChangeAspect="1"/>
                          </pic:cNvPicPr>
                        </pic:nvPicPr>
                        <pic:blipFill>
                          <a:blip r:embed="rId4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油网烟罩连灯带鲜风系统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1、名称：油网烟罩连灯带鲜风系统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2、参考规格：5400*1420*500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2"/>
                          <pic:cNvPicPr>
                            <a:picLocks noChangeAspect="1"/>
                          </pic:cNvPicPr>
                        </pic:nvPicPr>
                        <pic:blipFill>
                          <a:blip r:embed="rId4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1033" w:type="dxa"/>
            <w:gridSpan w:val="9"/>
            <w:shd w:val="clear" w:color="auto" w:fill="auto"/>
            <w:noWrap/>
            <w:vAlign w:val="center"/>
          </w:tcPr>
          <w:p>
            <w:pPr>
              <w:tabs>
                <w:tab w:val="left" w:pos="3359"/>
              </w:tabs>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F蒸煮间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厨房消防系统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1、名称：厨房消防系统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-灭火系统应对厨房内的明火区域有扑灭及抑制能力，保护煮食炉具。灭火系统亦应有保护炉具上的通风系统连油烟罩及隔油网能力，该设备启动方式有自动启动、手动启动和应急启动功能。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-具有国家固定灭火系统和耐火构件质量监督检验中心出具的产品型式检验报告；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-具有省级消防研究所出具的灭火性能效率：灭火时间≤1.8s秒的检测报告；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-灭火药剂具有省一级疾控中心出具的毒性报告；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-所投灭火装置具有一体式声光报警功能，内部和外部音响器件的声压级应分别在65dB和85dB以上，115dB以下；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-灭火系统密封件卡压垫片通过GB/T2423.2—2008高温实验的检测报告。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-双瓶装。</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3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简易工作台下栅格带靠背</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1、名称：简易工作台下栅格带靠背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2、参考规格：1500*800*800+150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5"/>
                          <pic:cNvPicPr>
                            <a:picLocks noChangeAspect="1"/>
                          </pic:cNvPicPr>
                        </pic:nvPicPr>
                        <pic:blipFill>
                          <a:blip r:embed="rId1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洗米机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-规格:50kg洗米机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-重量:18.08jg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-水压:4kg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2、参考规格：700*700*950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6"/>
                          <pic:cNvPicPr>
                            <a:picLocks noChangeAspect="1"/>
                          </pic:cNvPicPr>
                        </pic:nvPicPr>
                        <pic:blipFill>
                          <a:blip r:embed="rId4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大单星盆水池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1、名称：大单星盆水池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*星斗尺寸：800*500*280mm；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7"/>
                          <pic:cNvPicPr>
                            <a:picLocks noChangeAspect="1"/>
                          </pic:cNvPicPr>
                        </pic:nvPicPr>
                        <pic:blipFill>
                          <a:blip r:embed="rId1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8"/>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jc w:val="left"/>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油网烟罩连灯带鲜风系统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1、名称：油网烟罩连灯带鲜风系统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2、参考规格：6900*1420*500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55700" cy="828675"/>
                  <wp:effectExtent l="0" t="0" r="2540" b="9525"/>
                  <wp:docPr id="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9"/>
                          <pic:cNvPicPr>
                            <a:picLocks noChangeAspect="1"/>
                          </pic:cNvPicPr>
                        </pic:nvPicPr>
                        <pic:blipFill>
                          <a:blip r:embed="rId47"/>
                          <a:srcRect/>
                          <a:stretch>
                            <a:fillRect/>
                          </a:stretch>
                        </pic:blipFill>
                        <pic:spPr>
                          <a:xfrm>
                            <a:off x="0" y="0"/>
                            <a:ext cx="11557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0"/>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电热推车蒸柜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1、名称：电热推车蒸柜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-功率:24KW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-盆数:24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2、参考规格：1050*1000*1730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1"/>
                          <pic:cNvPicPr>
                            <a:picLocks noChangeAspect="1"/>
                          </pic:cNvPicPr>
                        </pic:nvPicPr>
                        <pic:blipFill>
                          <a:blip r:embed="rId4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二十四盆饼车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1、名称：二十四盆饼车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选用优质304不锈钢板制造，δ=1.2mm,配万向脚轮。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2、参考规格：820*650*1360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2"/>
                          <pic:cNvPicPr>
                            <a:picLocks noChangeAspect="1"/>
                          </pic:cNvPicPr>
                        </pic:nvPicPr>
                        <pic:blipFill>
                          <a:blip r:embed="rId5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摇锅</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1、名称：摇锅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面板采用1.2mm进口不锈钢砂光板材夹保温材料，侧板采用0.8mm进口不锈钢板材，煮粥炉配套德昕牌电磁机芯30kw/380v控制系统，配不锈钢可调脚。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2、参考规格：1200*950*1300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3"/>
                          <pic:cNvPicPr>
                            <a:picLocks noChangeAspect="1"/>
                          </pic:cNvPicPr>
                        </pic:nvPicPr>
                        <pic:blipFill>
                          <a:blip r:embed="rId5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装饰板</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2、参考规格：6900*35*1000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4"/>
                          <pic:cNvPicPr>
                            <a:picLocks noChangeAspect="1"/>
                          </pic:cNvPicPr>
                        </pic:nvPicPr>
                        <pic:blipFill>
                          <a:blip r:embed="rId4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1033" w:type="dxa"/>
            <w:gridSpan w:val="9"/>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G面点间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单星工作柜（右星）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1、名称：单星工作柜（右星）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5"/>
                          <pic:cNvPicPr>
                            <a:picLocks noChangeAspect="1"/>
                          </pic:cNvPicPr>
                        </pic:nvPicPr>
                        <pic:blipFill>
                          <a:blip r:embed="rId5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压面机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1、名称：压面机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压面厚度 : 2~32mm；压面宽度 : 320mm；生产能力 : 25~30kg/h；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纯铜电机，外板采用1.2mm磨砂S304不锈钢制作，配3种规格不锈钢面刀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增设安全防护栏及紧急安全开关更提升操作者安全保障　自动连续压面机特色S型连续式折迭辗压，增加面团延展性及光泽,可增加面皮之筋性与组织的细密度　,不锈钢机壳，符合食品卫生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2、参考规格：750*960*1000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6"/>
                          <pic:cNvPicPr>
                            <a:picLocks noChangeAspect="1"/>
                          </pic:cNvPicPr>
                        </pic:nvPicPr>
                        <pic:blipFill>
                          <a:blip r:embed="rId5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双动双速和面机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1、名称：双动双速和面机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-料桶容积：80L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-额定电压：3V-380V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-额定频率：50Hz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-电机功率：1.5KW/2.4KW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-最大和面量：25Kg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-搅拌转速：210/107r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-料桶转速：16r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-整机重量：439kg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2、参考规格：682*1122*1305</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7"/>
                          <pic:cNvPicPr>
                            <a:picLocks noChangeAspect="1"/>
                          </pic:cNvPicPr>
                        </pic:nvPicPr>
                        <pic:blipFill>
                          <a:blip r:embed="rId5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B30 三功能搅拌机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1、名称：B30 三功能搅拌机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-料桶容积：30L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-额定电压：220V/3V-380V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-额定频率：50Hz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-电机功率：1.5KW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-最大和面量：10Kg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-搅拌转速：65/102/296r</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-整机重量：192kg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2、参考规格：600*700*1020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8"/>
                          <pic:cNvPicPr>
                            <a:picLocks noChangeAspect="1"/>
                          </pic:cNvPicPr>
                        </pic:nvPicPr>
                        <pic:blipFill>
                          <a:blip r:embed="rId5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厨房消防系统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1、名称：厨房消防系统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-灭火系统应对厨房内的明火区域有扑灭及抑制能力，保护煮食炉具。灭火系统亦应有保护炉具上的通风系统连油烟罩及隔油网能力，该设备启动方式有自动启动、手动启动和应急启动功能。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-具有国家固定灭火系统和耐火构件质量监督检验中心出具的产品型式检验报告；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-具有省级消防研究所出具的灭火性能效率：灭火时间≤1.8s秒的检测报告；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-灭火药剂具有省一级疾控中心出具的毒性报告；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-所投灭火装置具有一体式声光报警功能，内部和外部音响器件的声压级应分别在65dB和85dB以上，115dB以下；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-灭火系统密封件卡压垫片通过GB/T2423.2—2008高温实验的检测报告。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-双瓶装。</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9"/>
                          <pic:cNvPicPr>
                            <a:picLocks noChangeAspect="1"/>
                          </pic:cNvPicPr>
                        </pic:nvPicPr>
                        <pic:blipFill>
                          <a:blip r:embed="rId3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电饼铛</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1、名称：电饼铛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全不锈钢机身、不锈钢辊轴、安全节能、操作简便、装备恒温装置，工作温度：50℃-300℃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2、参考规格：720*655*745</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0"/>
                          <pic:cNvPicPr>
                            <a:picLocks noChangeAspect="1"/>
                          </pic:cNvPicPr>
                        </pic:nvPicPr>
                        <pic:blipFill>
                          <a:blip r:embed="rId5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三层六盘电烤箱</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1、名称：三层六盘电烤箱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-采用微电脑数字控制系统，温度精准+-1度，进口电子元件；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-加厚保温层，更加密封节能环保，导热均匀；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-双层钢化玻璃，视线好便于观察烘焙情况；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-磨砂拉手，不传热，无高温，不烫手；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-电源电压：交流380V，50Hz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2、参考规格：1320×1070×1840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1"/>
                          <pic:cNvPicPr>
                            <a:picLocks noChangeAspect="1"/>
                          </pic:cNvPicPr>
                        </pic:nvPicPr>
                        <pic:blipFill>
                          <a:blip r:embed="rId5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2"/>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面粉车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1、名称：面粉车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-蝶形翻盖，配承重静音脚轮，其中两只带刹车掣；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2、参考规格：500×500×500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522605" cy="447040"/>
                  <wp:effectExtent l="0" t="0" r="10795" b="10160"/>
                  <wp:docPr id="3" name="图片 7" descr="面粉车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面粉车 副本"/>
                          <pic:cNvPicPr>
                            <a:picLocks noChangeAspect="1"/>
                          </pic:cNvPicPr>
                        </pic:nvPicPr>
                        <pic:blipFill>
                          <a:blip r:embed="rId58"/>
                          <a:stretch>
                            <a:fillRect/>
                          </a:stretch>
                        </pic:blipFill>
                        <pic:spPr>
                          <a:xfrm>
                            <a:off x="0" y="0"/>
                            <a:ext cx="522605" cy="447040"/>
                          </a:xfrm>
                          <a:prstGeom prst="rect">
                            <a:avLst/>
                          </a:prstGeom>
                          <a:noFill/>
                          <a:ln w="9525">
                            <a:noFill/>
                            <a:miter/>
                          </a:ln>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木案工作台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1、名称：木案工作台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*台面是银杏木板；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4"/>
                          <pic:cNvPicPr>
                            <a:picLocks noChangeAspect="1"/>
                          </pic:cNvPicPr>
                        </pic:nvPicPr>
                        <pic:blipFill>
                          <a:blip r:embed="rId5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双温四门高身柜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1、名称：双温四门高身柜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温度范围：0~15/-22~-18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highlight w:val="cyan"/>
                <w:u w:val="none"/>
                <w:lang w:val="en-US" w:eastAsia="zh-CN" w:bidi="ar"/>
              </w:rPr>
              <w:t>2、参考规格：1200*760*2000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5"/>
                          <pic:cNvPicPr>
                            <a:picLocks noChangeAspect="1"/>
                          </pic:cNvPicPr>
                        </pic:nvPicPr>
                        <pic:blipFill>
                          <a:blip r:embed="rId2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6"/>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十二盆饼车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1、名称：十二盆饼车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选用优质304不锈钢板制造，δ=1.2mm,配万向脚轮。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2、参考规格：500*650*1360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7"/>
                          <pic:cNvPicPr>
                            <a:picLocks noChangeAspect="1"/>
                          </pic:cNvPicPr>
                        </pic:nvPicPr>
                        <pic:blipFill>
                          <a:blip r:embed="rId6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单门醒发箱</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1、名称：单门醒发箱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-全部为喷雾式结构，在开始工作后极短时间内产生蒸汽；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-全部为双层304不锈钢制作，PU保温层；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-全自动触摸式控制，使温度湿度更准确并有时间控制；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-内部热风循环结构，两个风机将热风延风道吹向內膛底部，热风上升至风机位置再循环，使产品能均匀醒发，达到最好效果；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-大玻璃门，醒箱盘架为铝合金材质，并可随意拆卸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-外部箱体全采用304不锈钢，保温层达到5cm，节能效果好；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-层数18层,，18盘；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-标准盘参考规格400mm×600mm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 功率/电压：1.85KW/220V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2、参考规格：625×900×2050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8"/>
                          <pic:cNvPicPr>
                            <a:picLocks noChangeAspect="1"/>
                          </pic:cNvPicPr>
                        </pic:nvPicPr>
                        <pic:blipFill>
                          <a:blip r:embed="rId6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油网烟罩连灯带鲜风系统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1、名称：油网烟罩连灯带鲜风系统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2、参考规格：3500*1420*500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55700" cy="828675"/>
                  <wp:effectExtent l="0" t="0" r="2540" b="9525"/>
                  <wp:docPr id="1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59"/>
                          <pic:cNvPicPr>
                            <a:picLocks noChangeAspect="1"/>
                          </pic:cNvPicPr>
                        </pic:nvPicPr>
                        <pic:blipFill>
                          <a:blip r:embed="rId47"/>
                          <a:srcRect/>
                          <a:stretch>
                            <a:fillRect/>
                          </a:stretch>
                        </pic:blipFill>
                        <pic:spPr>
                          <a:xfrm>
                            <a:off x="0" y="0"/>
                            <a:ext cx="11557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装饰板</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1、名称：装饰板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2、参考规格：3500*35*1000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4"/>
                          <pic:cNvPicPr>
                            <a:picLocks noChangeAspect="1"/>
                          </pic:cNvPicPr>
                        </pic:nvPicPr>
                        <pic:blipFill>
                          <a:blip r:embed="rId4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H一楼售卖间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双星洗手水池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1、名称：双星洗手水池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2、参考规格：800*500*800+100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9"/>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2、参考规格：650*800*800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0"/>
                          <pic:cNvPicPr>
                            <a:picLocks noChangeAspect="1"/>
                          </pic:cNvPicPr>
                        </pic:nvPicPr>
                        <pic:blipFill>
                          <a:blip r:embed="rId3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暖饭车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1、名称：暖饭车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2、参考规格：610*800*800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8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1"/>
                          <pic:cNvPicPr>
                            <a:picLocks noChangeAspect="1"/>
                          </pic:cNvPicPr>
                        </pic:nvPicPr>
                        <pic:blipFill>
                          <a:blip r:embed="rId6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保温售饭柜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1、名称：保温售饭柜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-规格：配食品级1/1份数盘5只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2"/>
                          <pic:cNvPicPr>
                            <a:picLocks noChangeAspect="1"/>
                          </pic:cNvPicPr>
                        </pic:nvPicPr>
                        <pic:blipFill>
                          <a:blip r:embed="rId6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单门宴会保温车（热）</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1、名称：单门宴会保温车（热）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内设双热风机送风加热，带来30~80°C热度，保温温度更均匀。11层大容量，轻松满足30多道菜。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2、参考规格：1100*760*1850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83"/>
                          <pic:cNvPicPr>
                            <a:picLocks noChangeAspect="1"/>
                          </pic:cNvPicPr>
                        </pic:nvPicPr>
                        <pic:blipFill>
                          <a:blip r:embed="rId6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单星水池柜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1、名称：单星水池柜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2、参考规格：760*760*800+150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4"/>
                          <pic:cNvPicPr>
                            <a:picLocks noChangeAspect="1"/>
                          </pic:cNvPicPr>
                        </pic:nvPicPr>
                        <pic:blipFill>
                          <a:blip r:embed="rId6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双温四门高身柜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1、名称：双温四门高身柜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温度范围：0~15/-22~-18</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2、参考规格：1200*760*2000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08075" cy="828675"/>
                  <wp:effectExtent l="0" t="0" r="4445" b="9525"/>
                  <wp:docPr id="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5"/>
                          <pic:cNvPicPr>
                            <a:picLocks noChangeAspect="1"/>
                          </pic:cNvPicPr>
                        </pic:nvPicPr>
                        <pic:blipFill>
                          <a:blip r:embed="rId28"/>
                          <a:srcRect/>
                          <a:stretch>
                            <a:fillRect/>
                          </a:stretch>
                        </pic:blipFill>
                        <pic:spPr>
                          <a:xfrm>
                            <a:off x="0" y="0"/>
                            <a:ext cx="1108075"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2、参考规格：800*350*800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6"/>
                          <pic:cNvPicPr>
                            <a:picLocks noChangeAspect="1"/>
                          </pic:cNvPicPr>
                        </pic:nvPicPr>
                        <pic:blipFill>
                          <a:blip r:embed="rId3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单通工作台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1、名称：单通工作台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2、参考规格：1100*760*800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87"/>
                          <pic:cNvPicPr>
                            <a:picLocks noChangeAspect="1"/>
                          </pic:cNvPicPr>
                        </pic:nvPicPr>
                        <pic:blipFill>
                          <a:blip r:embed="rId6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I一楼洗消间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88"/>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89"/>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挂墙茜架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1、名称：挂墙茜架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2、参考规格：1500*500*300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0"/>
                          <pic:cNvPicPr>
                            <a:picLocks noChangeAspect="1"/>
                          </pic:cNvPicPr>
                        </pic:nvPicPr>
                        <pic:blipFill>
                          <a:blip r:embed="rId6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挂墙茜架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1、名称：挂墙茜架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2、参考规格：800*500*800+100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0"/>
                          <pic:cNvPicPr>
                            <a:picLocks noChangeAspect="1"/>
                          </pic:cNvPicPr>
                        </pic:nvPicPr>
                        <pic:blipFill>
                          <a:blip r:embed="rId6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洁碟台A</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1、名称：洁碟台A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2、参考规格：1200*800*800+150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9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1"/>
                          <pic:cNvPicPr>
                            <a:picLocks noChangeAspect="1"/>
                          </pic:cNvPicPr>
                        </pic:nvPicPr>
                        <pic:blipFill>
                          <a:blip r:embed="rId6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中间滤网式抽气罩</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1、名称：中间滤网式抽气罩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2、参考规格：900*900*450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2"/>
                          <pic:cNvPicPr>
                            <a:picLocks noChangeAspect="1"/>
                          </pic:cNvPicPr>
                        </pic:nvPicPr>
                        <pic:blipFill>
                          <a:blip r:embed="rId6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高压花洒</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1、名称：高压花洒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流量5.38LPM/1.42GPM指标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抛光镀铬黄铜本体，直管壁厚2.54mm～6.6mm，无铅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黄铜压缩阀芯带有止回阀可防止水流回流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18"不锈钢供水软管，6"可调墙出支架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2、参考规格：190*360*980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4"/>
                          <pic:cNvPicPr>
                            <a:picLocks noChangeAspect="1"/>
                          </pic:cNvPicPr>
                        </pic:nvPicPr>
                        <pic:blipFill>
                          <a:blip r:embed="rId7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双星污碟台（右收残）</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1、名称：双星污碟台（右收残）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2、参考规格：2590*800*800+150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5"/>
                          <pic:cNvPicPr>
                            <a:picLocks noChangeAspect="1"/>
                          </pic:cNvPicPr>
                        </pic:nvPicPr>
                        <pic:blipFill>
                          <a:blip r:embed="rId7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提拉式洗碗机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1、名称：提拉式洗碗机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-最大洗涤量:60筐/小时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-洗涤温度：60~65℃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-漂洗温度：82~90℃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-机器入口宽度（毫米）：508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-全自动系统操作（简单易用）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-高效能快速（节省人手）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-不锈钢结构（坚固耐用）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-强力清洗及消毒效能（提高卫生形象）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-电源电压：交流380V，50Hz 功率/电压：18KW/380V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2、参考规格：696×712×1440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6"/>
                          <pic:cNvPicPr>
                            <a:picLocks noChangeAspect="1"/>
                          </pic:cNvPicPr>
                        </pic:nvPicPr>
                        <pic:blipFill>
                          <a:blip r:embed="rId7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四门碗柜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1、名称：四门碗柜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*下层、侧板板厚度1.2mm,并用1.2mm厚不锈钢板折成加强筋加固；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2、参考规格：1200*550*1800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7"/>
                          <pic:cNvPicPr>
                            <a:picLocks noChangeAspect="1"/>
                          </pic:cNvPicPr>
                        </pic:nvPicPr>
                        <pic:blipFill>
                          <a:blip r:embed="rId7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热风循环（光波）消毒柜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1、名称：热风循环（光波）消毒柜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·黑白不锈钢结合门头＋工程款翻边拉手＋内外304不锈钢结构，外形美观大方;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·整机采用整体发泡工艺，耐高温门封工艺，隔热保温，节能卫生;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·采用全不锈钢发热管（带可视窗为光波管），热风循环系统，高温消毒无死角;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·设有名厂可调温控器，对所需温度随意调节;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·带有可调定时器功能，灵活定时没烦恼;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·全不锈钢重力脚，可调高低功能;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·中大容量设计，配置全无磁加粗层架;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2、参考规格：1200*700*1940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8"/>
                          <pic:cNvPicPr>
                            <a:picLocks noChangeAspect="1"/>
                          </pic:cNvPicPr>
                        </pic:nvPicPr>
                        <pic:blipFill>
                          <a:blip r:embed="rId7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J分装及发送区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热汤池柜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1、名称：热汤池柜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2、参考规格：1500*700*850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9"/>
                          <pic:cNvPicPr>
                            <a:picLocks noChangeAspect="1"/>
                          </pic:cNvPicPr>
                        </pic:nvPicPr>
                        <pic:blipFill>
                          <a:blip r:embed="rId7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0"/>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双星洗手水池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1、名称：双星洗手水池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2、参考规格：800*500*800+100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0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1"/>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OWC-22保温车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1、名称：OWC-22保温车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内设双热风机送风加热，带来30~80°C热度，保温温度更均匀。11层大容量，轻松满足30多道菜。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2、参考规格：800*1000*2060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2"/>
                          <pic:cNvPicPr>
                            <a:picLocks noChangeAspect="1"/>
                          </pic:cNvPicPr>
                        </pic:nvPicPr>
                        <pic:blipFill>
                          <a:blip r:embed="rId7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3"/>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K冷库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04"/>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保鲜库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1、名称：保鲜库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温度:+2～+6℃，保温:聚氨酯双面彩钢板100mm厚/宝钢板0.5mm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防水:SBS沥青防水层2.5mm厚/地板覆压花铝板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制冷:风冷全封涡漩压缩机采用电融霜指标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系统:外平衡式膨胀阀采用优质产品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系统:电磁阀采用优质产品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冷媒:制冷剂R404a指标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管道:冷媒连接紫铜管Φ16×1.2指标，螺纹内壁铜管便于导热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照明:冷库专用LED三防灯采用双灯管指标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控制:微电脑全自动控制器带超温低温报警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工艺要求按照:厨房配套工程-室内组合式冷库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2、参考规格：3300*2900*2200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5"/>
                          <pic:cNvPicPr>
                            <a:picLocks noChangeAspect="1"/>
                          </pic:cNvPicPr>
                        </pic:nvPicPr>
                        <pic:blipFill>
                          <a:blip r:embed="rId7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冷冻库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1、名称：冷冻库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温度:+2～+6℃，保温:聚氨酯双面彩钢板100mm厚/宝钢板0.5mm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防水:SBS沥青防水层2.5mm厚/地板覆压花铝板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制冷:风冷全封涡漩压缩机采用电融霜指标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系统:外平衡式膨胀阀采用优质产品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系统:电磁阀采用优质产品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冷媒:制冷剂R404a指标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管道:冷媒连接紫铜管Φ16×1.2指标，螺纹内壁铜管便于导热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照明:冷库专用LED三防灯采用双灯管指标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控制:微电脑全自动控制器带超温低温报警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工艺要求按照:厨房配套工程-室内组合式冷库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2、参考规格：3300*2900*2200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06"/>
                          <pic:cNvPicPr>
                            <a:picLocks noChangeAspect="1"/>
                          </pic:cNvPicPr>
                        </pic:nvPicPr>
                        <pic:blipFill>
                          <a:blip r:embed="rId7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L副食品仓库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07"/>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2、参考规格：1100*500*1600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07"/>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M主食库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米面架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1、名称：米面架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*横柱用38×25×0.8mm厚不锈钢；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*立柱采用38×38×1.2mm厚不锈钢；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*配置塑胶脚垫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09"/>
                          <pic:cNvPicPr>
                            <a:picLocks noChangeAspect="1"/>
                          </pic:cNvPicPr>
                        </pic:nvPicPr>
                        <pic:blipFill>
                          <a:blip r:embed="rId3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米面架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1、名称：米面架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*横柱用38×25×0.8mm厚不锈钢；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*立柱采用38×38×1.2mm厚不锈钢；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*配置塑胶脚垫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2、参考规格：1100*700*150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09"/>
                          <pic:cNvPicPr>
                            <a:picLocks noChangeAspect="1"/>
                          </pic:cNvPicPr>
                        </pic:nvPicPr>
                        <pic:blipFill>
                          <a:blip r:embed="rId3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N干货库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1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1"/>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O垃圾房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移动垃圾桶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1、名称：移动垃圾桶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高密度聚乙烯全新料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2、参考规格：766*766*1150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2"/>
                          <pic:cNvPicPr>
                            <a:picLocks noChangeAspect="1"/>
                          </pic:cNvPicPr>
                        </pic:nvPicPr>
                        <pic:blipFill>
                          <a:blip r:embed="rId7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垃圾处理器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1、名称：垃圾处理器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-功率:6.25KW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-重量:150kg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-生产能力:200-300kg/h</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-进料粒度:Φ≤160MM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-出料粒度:3~5MM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-处理模式:固液分离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2、参考规格：1400*650*1085</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3"/>
                          <pic:cNvPicPr>
                            <a:picLocks noChangeAspect="1"/>
                          </pic:cNvPicPr>
                        </pic:nvPicPr>
                        <pic:blipFill>
                          <a:blip r:embed="rId7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垃圾桶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1、名称：垃圾桶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高密度聚乙烯全新料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2、参考规格：680*620*820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4"/>
                          <pic:cNvPicPr>
                            <a:picLocks noChangeAspect="1"/>
                          </pic:cNvPicPr>
                        </pic:nvPicPr>
                        <pic:blipFill>
                          <a:blip r:embed="rId8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垃圾分拣台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1、名称：垃圾分拣台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2、参考规格：2000*760*800+150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5"/>
                          <pic:cNvPicPr>
                            <a:picLocks noChangeAspect="1"/>
                          </pic:cNvPicPr>
                        </pic:nvPicPr>
                        <pic:blipFill>
                          <a:blip r:embed="rId8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16"/>
                          <pic:cNvPicPr>
                            <a:picLocks noChangeAspect="1"/>
                          </pic:cNvPicPr>
                        </pic:nvPicPr>
                        <pic:blipFill>
                          <a:blip r:embed="rId4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高压花洒</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1、名称：高压花洒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流量5.38LPM/1.42GPM指标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抛光镀铬黄铜本体，直管壁厚2.54mm～6.6mm，无铅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黄铜压缩阀芯带有止回阀可防止水流回流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18"不锈钢供水软管，6"可调墙出支架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2、参考规格：190*360*980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2"/>
                          <pic:cNvPicPr>
                            <a:picLocks noChangeAspect="1"/>
                          </pic:cNvPicPr>
                        </pic:nvPicPr>
                        <pic:blipFill>
                          <a:blip r:embed="rId7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垃圾冷库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1、名称：垃圾冷库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温度:+2～+6℃，保温:聚氨酯双面彩钢板100mm厚/宝钢板0.5mm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防水:SBS沥青防水层2.5mm厚/地板覆压花铝板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制冷:风冷全封涡漩压缩机采用电融霜指标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系统:外平衡式膨胀阀采用优质产品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系统:电磁阀采用优质产品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冷媒:制冷剂R404a指标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管道:冷媒连接紫铜管Φ16×1.2指标，螺纹内壁铜管便于导热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照明:冷库专用LED三防灯采用双灯管指标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控制:微电脑全自动控制器带超温低温报警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工艺要求按照:厨房配套工程-室内组合式冷库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2、参考规格：3500*2200*2200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05"/>
                          <pic:cNvPicPr>
                            <a:picLocks noChangeAspect="1"/>
                          </pic:cNvPicPr>
                        </pic:nvPicPr>
                        <pic:blipFill>
                          <a:blip r:embed="rId7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P二楼售卖区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保温售饭柜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1、名称：保温售饭柜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17"/>
                          <pic:cNvPicPr>
                            <a:picLocks noChangeAspect="1"/>
                          </pic:cNvPicPr>
                        </pic:nvPicPr>
                        <pic:blipFill>
                          <a:blip r:embed="rId8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蒸菜台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1、名称：蒸菜台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2、参考规格：1600*800*800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18"/>
                          <pic:cNvPicPr>
                            <a:picLocks noChangeAspect="1"/>
                          </pic:cNvPicPr>
                        </pic:nvPicPr>
                        <pic:blipFill>
                          <a:blip r:embed="rId8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八头煲仔炉</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1、名称：八头煲仔炉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适用范围：休闲速食设备,西餐店设备,中餐店设备,饮品店设备,茶餐厅设备,餐饮业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-计量方式 ：机械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 ：单层双列8头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-单位重量：5.5*8（Kg）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-电压：220V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-功率：7.6（Kw）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19"/>
                          <pic:cNvPicPr>
                            <a:picLocks noChangeAspect="1"/>
                          </pic:cNvPicPr>
                        </pic:nvPicPr>
                        <pic:blipFill>
                          <a:blip r:embed="rId8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五孔电磁炉带工作台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1、名称：五孔电磁炉带工作台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配嵌入式电磁炉。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1"/>
                          <pic:cNvPicPr>
                            <a:picLocks noChangeAspect="1"/>
                          </pic:cNvPicPr>
                        </pic:nvPicPr>
                        <pic:blipFill>
                          <a:blip r:embed="rId6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油烟净化一体机</w:t>
            </w:r>
          </w:p>
        </w:tc>
        <w:tc>
          <w:tcPr>
            <w:tcW w:w="3397" w:type="dxa"/>
            <w:shd w:val="clear" w:color="auto" w:fill="auto"/>
            <w:noWrap/>
            <w:vAlign w:val="center"/>
          </w:tcPr>
          <w:p>
            <w:pPr>
              <w:keepNext w:val="0"/>
              <w:keepLines w:val="0"/>
              <w:widowControl/>
              <w:numPr>
                <w:ilvl w:val="0"/>
                <w:numId w:val="23"/>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名称：油烟净化一体机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（1）环保达标:烟罩油烟净化一体机需符合HJ/T 62-2001等规范要求，油烟排放浓度≤1.0mg/m3， 臭氧排放浓度≤60无量纲。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（2）核心部件：烟罩油烟净化一体机内净化器极板的陶瓷绝缘柱，耐碱度要求不低于99.8%，耐酸度要求不低于93.9%，符合化学工业及其他工业用耐酸陶瓷设备及零部件的材料性能。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（3）设备安全：烟罩油烟净化一体机内的净化器整机放置在50℃和-20℃的环境中，恒温恒湿箱内24h高温和低温测试。</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（4）防水防尘要求：IP66防护等级；</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（5）盐雾测试：烟罩油烟净化一体机产品外壳材质需通过盐雾测试合格。</w:t>
            </w:r>
          </w:p>
          <w:p>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highlight w:val="cyan"/>
                <w:u w:val="none"/>
                <w:lang w:val="en-US" w:eastAsia="zh-CN" w:bidi="ar"/>
              </w:rPr>
              <w:t xml:space="preserve">（6）油烟净化一体机含约20米配套不锈钢管路及末端室外风机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2、参考规格：1500*900*930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2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2"/>
                          <pic:cNvPicPr>
                            <a:picLocks noChangeAspect="1"/>
                          </pic:cNvPicPr>
                        </pic:nvPicPr>
                        <pic:blipFill>
                          <a:blip r:embed="rId8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单通工作台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1、名称：单通工作台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2、参考规格：1000*700*800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3"/>
                          <pic:cNvPicPr>
                            <a:picLocks noChangeAspect="1"/>
                          </pic:cNvPicPr>
                        </pic:nvPicPr>
                        <pic:blipFill>
                          <a:blip r:embed="rId6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电磁单头高背矮汤炉</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1、名称：电磁单头高背矮汤炉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Remark(特性参数)：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-选用SUS304-2B优质不锈钢板制作，台面δ=1.2mm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-微晶面板φ420；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-采用Infeneon IGBT模块，性能稳定；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-高频率专利线盘，火力更强劲，均匀；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-防辐射屏蔽保护；防护等级IPX4；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-自动保护功能（缺相、高压、低压、浪涌、干烧及过热保护等）；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-火力、功率、时间、温度显示功能；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-人性化设计，操作简单方便；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-电源电压：交流380V，50Hz 功率/电压：15KW/380V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2、参考规格：650×700×（550+650）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4"/>
                          <pic:cNvPicPr>
                            <a:picLocks noChangeAspect="1"/>
                          </pic:cNvPicPr>
                        </pic:nvPicPr>
                        <pic:blipFill>
                          <a:blip r:embed="rId8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八头煮面炉（电热型）</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1、名称：八头煮面炉（电热型）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Remark(特性参数)：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-选用SUS304-2B优质不锈钢板制作；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-台面δ=1.0mm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-内胆δ=1.2mm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-侧板、底板δ=0.8mm，配2扇开门；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-重力脚φ50×150×1.2mm；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-配6根4KW电热管，一键式启动按钮；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-配水位浮球开关，溢水口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-电源电压：交流380V，50Hz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2、参考规格：850*700*800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5"/>
                          <pic:cNvPicPr>
                            <a:picLocks noChangeAspect="1"/>
                          </pic:cNvPicPr>
                        </pic:nvPicPr>
                        <pic:blipFill>
                          <a:blip r:embed="rId8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翻门工作台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1、名称：翻门工作台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26"/>
                          <pic:cNvPicPr>
                            <a:picLocks noChangeAspect="1"/>
                          </pic:cNvPicPr>
                        </pic:nvPicPr>
                        <pic:blipFill>
                          <a:blip r:embed="rId8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双星水池柜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1、名称：双星水池柜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7"/>
                          <pic:cNvPicPr>
                            <a:picLocks noChangeAspect="1"/>
                          </pic:cNvPicPr>
                        </pic:nvPicPr>
                        <pic:blipFill>
                          <a:blip r:embed="rId8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单星水池柜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1、名称：单星水池柜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28"/>
                          <pic:cNvPicPr>
                            <a:picLocks noChangeAspect="1"/>
                          </pic:cNvPicPr>
                        </pic:nvPicPr>
                        <pic:blipFill>
                          <a:blip r:embed="rId6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冷藏大双门玻璃门高身柜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1、名称：冷藏大双门玻璃门高身柜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温度范围：0~15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不锈钢门拉手、美观、坚固、耐用，可与客户不锈钢制品更好的搭配。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箱体发泡层厚度≧60，门板发泡厚度≧55，门板与通风窗齐平，≧45时自动回归，且必须采用平口设计拉手，配专用门锁，以保证食品安全。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环保制冷剂R134A或R404A，避免大气污染，环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无烷无氟环保60mm厚高密度发泡保温层、保温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性能更好。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2、参考规格：1200*760*2000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29"/>
                          <pic:cNvPicPr>
                            <a:picLocks noChangeAspect="1"/>
                          </pic:cNvPicPr>
                        </pic:nvPicPr>
                        <pic:blipFill>
                          <a:blip r:embed="rId90"/>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翻门工作台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1、名称：翻门工作台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2、参考规格：1300*760*800+150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pic:cNvPicPr>
                        </pic:nvPicPr>
                        <pic:blipFill>
                          <a:blip r:embed="rId8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翻门工作台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1、名称：翻门工作台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0"/>
                          <pic:cNvPicPr>
                            <a:picLocks noChangeAspect="1"/>
                          </pic:cNvPicPr>
                        </pic:nvPicPr>
                        <pic:blipFill>
                          <a:blip r:embed="rId8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简易工作台下栅格带靠背</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1、名称：简易工作台下栅格带靠背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3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1"/>
                          <pic:cNvPicPr>
                            <a:picLocks noChangeAspect="1"/>
                          </pic:cNvPicPr>
                        </pic:nvPicPr>
                        <pic:blipFill>
                          <a:blip r:embed="rId1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2"/>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双门宴会保温车（热）</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1、名称：双门宴会保温车（热）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内设双热风机送风加热，带来30~80°C热度，保温温度更均匀。11层大容量，轻松满足30多道菜。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2、参考规格：1580*930*1850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3"/>
                          <pic:cNvPicPr>
                            <a:picLocks noChangeAspect="1"/>
                          </pic:cNvPicPr>
                        </pic:nvPicPr>
                        <pic:blipFill>
                          <a:blip r:embed="rId9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托盘推车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1、名称：托盘推车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2、参考规格：1500*760*900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4"/>
                          <pic:cNvPicPr>
                            <a:picLocks noChangeAspect="1"/>
                          </pic:cNvPicPr>
                        </pic:nvPicPr>
                        <pic:blipFill>
                          <a:blip r:embed="rId9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OWC-22保温车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1、名称：OWC-22保温车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内设双热风机送风加热，带来30~80°C热度，保温温度更均匀。11层大容量，轻松满足30多道菜。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2、参考规格：800*1000*2060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35"/>
                          <pic:cNvPicPr>
                            <a:picLocks noChangeAspect="1"/>
                          </pic:cNvPicPr>
                        </pic:nvPicPr>
                        <pic:blipFill>
                          <a:blip r:embed="rId7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双星洗手水池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1、名称：双星洗手水池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*星斗尺寸：500*500*280mm；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2、参考规格：800*500*800+100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36"/>
                          <pic:cNvPicPr>
                            <a:picLocks noChangeAspect="1"/>
                          </pic:cNvPicPr>
                        </pic:nvPicPr>
                        <pic:blipFill>
                          <a:blip r:embed="rId2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37"/>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活动双层平板工作台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1、名称：活动双层平板工作台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48"/>
                          <pic:cNvPicPr>
                            <a:picLocks noChangeAspect="1"/>
                          </pic:cNvPicPr>
                        </pic:nvPicPr>
                        <pic:blipFill>
                          <a:blip r:embed="rId9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Q二楼洗消间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垃圾车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1、名称：垃圾车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2、参考规格：1000*744*850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38"/>
                          <pic:cNvPicPr>
                            <a:picLocks noChangeAspect="1"/>
                          </pic:cNvPicPr>
                        </pic:nvPicPr>
                        <pic:blipFill>
                          <a:blip r:embed="rId9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尾部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1、名称：尾部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1.整机结构采用SUS304不锈钢，台面板1.5mm，其他板1.2mm；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2.采用食品级叶片，抗扯力≥2000N；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3.焊接工艺：外观光亮平整，无毛刺；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4.采用防滑塑料底脚，可调节高度；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5.电路过载和漏电安全保护设计，确保运行安全；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6.配置减速电机和变频器，具有变频调速，柔性启动功能，运行稳定可靠；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7.灵活的模块化组合设计，可根据场地条件调整长度，或设置直线、转弯及U字型；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8、参考规格：1200*500*940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39"/>
                          <pic:cNvPicPr>
                            <a:picLocks noChangeAspect="1"/>
                          </pic:cNvPicPr>
                        </pic:nvPicPr>
                        <pic:blipFill>
                          <a:blip r:embed="rId9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中间接驳</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1、名称：中间接驳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1.整机结构采用SUS304不锈钢，台面板1.5mm，其他板1.2mm；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2.采用食品级叶片，抗扯力≥2000N；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3.焊接工艺：外观光亮平整，无毛刺；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4.采用防滑塑料底脚，可调节高度；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5.电路过载和漏电安全保护设计，确保运行安全；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6.配置减速电机和变频器，具有变频调速，柔性启动功能，运行稳定可靠；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7.灵活的模块化组合设计，可根据场地条件调整长度，或设置直线、转弯及U字型；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8、参考规格：7000*500*940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0"/>
                          <pic:cNvPicPr>
                            <a:picLocks noChangeAspect="1"/>
                          </pic:cNvPicPr>
                        </pic:nvPicPr>
                        <pic:blipFill>
                          <a:blip r:embed="rId9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中间接驳</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1、名称：中间接驳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1.整机结构采用SUS304不锈钢，台面板1.5mm，其他板1.2mm；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2.采用食品级叶片，抗扯力≥2000N；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3.焊接工艺：外观光亮平整，无毛刺；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4.采用防滑塑料底脚，可调节高度；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5.电路过载和漏电安全保护设计，确保运行安全；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6.配置减速电机和变频器，具有变频调速，柔性启动功能，运行稳定可靠；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7.灵活的模块化组合设计，可根据场地条件调整长度，或设置直线、转弯及U字型；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8、参考规格：500*1400*940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0"/>
                          <pic:cNvPicPr>
                            <a:picLocks noChangeAspect="1"/>
                          </pic:cNvPicPr>
                        </pic:nvPicPr>
                        <pic:blipFill>
                          <a:blip r:embed="rId9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0.5</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90度转角</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1、名称：90度转角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1.整机结构采用SUS304不锈钢，台面板1.5mm，其他板1.2mm；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2.采用食品级叶片，抗扯力≥2000N；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3.焊接工艺：外观光亮平整，无毛刺；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4.采用防滑塑料底脚，可调节高度；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5.电路过载和漏电安全保护设计，确保运行安全；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6.配置减速电机和变频器，具有变频调速，柔性启动功能，运行稳定可靠；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7.灵活的模块化组合设计，可根据场地条件调整长度，或设置直线、转弯及U字型；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8、参考规格：620*620*940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1"/>
                          <pic:cNvPicPr>
                            <a:picLocks noChangeAspect="1"/>
                          </pic:cNvPicPr>
                        </pic:nvPicPr>
                        <pic:blipFill>
                          <a:blip r:embed="rId9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简易工作台下栅格带靠背</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1、名称：简易工作台下栅格带靠背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43"/>
                          <pic:cNvPicPr>
                            <a:picLocks noChangeAspect="1"/>
                          </pic:cNvPicPr>
                        </pic:nvPicPr>
                        <pic:blipFill>
                          <a:blip r:embed="rId1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大单星盆水池</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1、名称：大单星盆水池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*整体SUS304不锈钢制作，联众一级板材；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*星盆斗采用1.2mm厚不锈钢板制作；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*星斗尺寸：800*500*280mm；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*立柱采用38*38mm方通，配可调式子弹脚；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*横撑采用25*38mm方通；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*不锈钢下水器；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*不锈钢水龙头、开孔φ22mm。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2、参考规格：1200*760*800+150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4"/>
                          <pic:cNvPicPr>
                            <a:picLocks noChangeAspect="1"/>
                          </pic:cNvPicPr>
                        </pic:nvPicPr>
                        <pic:blipFill>
                          <a:blip r:embed="rId1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四层平板货架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1、名称：四层平板货架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*立柱采用φ48mm，1.2mm厚不锈钢圆管；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2、参考规格：1200*500*1600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45"/>
                          <pic:cNvPicPr>
                            <a:picLocks noChangeAspect="1"/>
                          </pic:cNvPicPr>
                        </pic:nvPicPr>
                        <pic:blipFill>
                          <a:blip r:embed="rId4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牛角抽气罩</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1、名称：牛角抽气罩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2、参考规格：600*160*365</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46"/>
                          <pic:cNvPicPr>
                            <a:picLocks noChangeAspect="1"/>
                          </pic:cNvPicPr>
                        </pic:nvPicPr>
                        <pic:blipFill>
                          <a:blip r:embed="rId98"/>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长龙洗碗机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1、名称：长龙洗碗机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1.耗水量：最大360L/小时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2.清洗温度：55-65°C  、喷淋温度：82-90°C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3.进口高度（可通过最大高度）≥410MM 、传送带宽度（可通过最大宽度）≥610MM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4.传送带速度：1.7-2.0米/分钟可调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5.洗涤能力:3500-5000碟/小时。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6.进口长度：800mm、出口长度：1200mm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7.喷淋加热功率：36kW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8.水箱加热功率：9kW*2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9.主洗泵：1.5kW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10.漂洗水泵：0.25KW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11.烘干发热丝：13.5KW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12.烘干风机：1.5KW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13.传动电机：0.55kW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14.总配电量：73kW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1．可靠的履带式传送系统配有自动过载保护装置，碗碟、餐盘可直接放于履带上，无需分装装筐。履带原材料符合《食品安全国家标准 食品接触用塑料及制品》GB 4806.7 2016。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2．智能模块化设计，可根据不同场地及洗涤需求灵活配置各种（主洗-漂洗-烘干）组合。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3．可根据洗涤物品的尺寸大小，重量以及清洗-烘干效果调整传送带速度。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4．机器配备多重安全保护装置（急停-限位-卡带-过热-超时等），确保操作人员及机器的安全。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5．传送带式洗碗机均配置Derinse ICS 4.0电控系统，其控制主板以及操作面板的防水等级IPX7符合“GB/T 2423.38-2008”，防尘等级IP5X符合“GB/T2423.37-2006”，耐高温等级符合“GB/T2423.2-2008”，耐低温符合“GB/T2423.1-2008”盐雾符合“GB/T2423.17-2008 ”标准。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6．经洗碗机清洗过的餐具中游离性余氯、阴离子合成洗涤剂、大肠菌群、沙门氏菌的指标，符合GB14934-2016检测标准。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7．传送带式洗碗机依据 QB/T 5428-2019《家用和类似用途节水型洗碗机技术要求和试验方法》企业技术要求，可通过71℃温度试验，</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8．整机采用SUS304制造，主体结构板材厚度1.5-3.0MM。不锈钢材料符合《食品安全国家标准 食品接触用金属材料及制品》GB 4806.9 2016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9．洗碗机整机防水等级达到IPX5，整机符合《低压成套开关设备和控制设备 第一部分：总则》GB/T7251.1-2013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10．洗碗机所排废水经检测，ph值（无量纲）为7.5（±1），悬浮物（SS）≤4,mg/L，五日生化需氧量（BOD5）≤5.5mg/L，提供具有“CMA”标志的检测报告。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11．烘干段采用内置循环风量系统，使烘干效果更佳而且省电。</w:t>
            </w:r>
          </w:p>
          <w:p>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12、参考规格：4510*830*2150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47"/>
                          <pic:cNvPicPr>
                            <a:picLocks noChangeAspect="1"/>
                          </pic:cNvPicPr>
                        </pic:nvPicPr>
                        <pic:blipFill>
                          <a:blip r:embed="rId99"/>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活动双层平板工作台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1、名称：活动双层平板工作台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48"/>
                          <pic:cNvPicPr>
                            <a:picLocks noChangeAspect="1"/>
                          </pic:cNvPicPr>
                        </pic:nvPicPr>
                        <pic:blipFill>
                          <a:blip r:embed="rId9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单池商用超声波洗碗机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1、名称：单池商用超声波洗碗机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功率：8KW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-温度控制：0-100℃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-工作频率：28KHz-40KHz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-工作电压：AC220V±10% 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-外形尺寸：2000*800*800mm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2、参考规格：2000*800*800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981075" cy="661670"/>
                  <wp:effectExtent l="0" t="0" r="9525" b="8890"/>
                  <wp:docPr id="15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49"/>
                          <pic:cNvPicPr>
                            <a:picLocks noChangeAspect="1"/>
                          </pic:cNvPicPr>
                        </pic:nvPicPr>
                        <pic:blipFill>
                          <a:blip r:embed="rId100"/>
                          <a:srcRect/>
                          <a:stretch>
                            <a:fillRect/>
                          </a:stretch>
                        </pic:blipFill>
                        <pic:spPr>
                          <a:xfrm>
                            <a:off x="0" y="0"/>
                            <a:ext cx="981075" cy="661670"/>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米面架</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1、名称：米面架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*横柱用38×25×0.8mm厚不锈钢；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*立柱采用38×38×1.2mm厚不锈钢；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*配置塑胶脚垫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2、参考规格：1200*600*150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0"/>
                          <pic:cNvPicPr>
                            <a:picLocks noChangeAspect="1"/>
                          </pic:cNvPicPr>
                        </pic:nvPicPr>
                        <pic:blipFill>
                          <a:blip r:embed="rId3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餐具车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1、名称：餐具车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2、参考规格：1150*720*800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59"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1"/>
                          <pic:cNvPicPr>
                            <a:picLocks noChangeAspect="1"/>
                          </pic:cNvPicPr>
                        </pic:nvPicPr>
                        <pic:blipFill>
                          <a:blip r:embed="rId101"/>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洗地龙头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1、名称：洗地龙头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2、规格：蓝色液压管可配5-15米；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3、采用不锈钢开放式卷盘厚度1.2MM，底座钢板厚度5MM，液压管出口采用304不锈钢板加固，系统控制软管的长度和拖拉力度，可自动撤回；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4、标配一把喷枪或花洒喷头。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5、参考规格：170*537*504</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52"/>
                          <pic:cNvPicPr>
                            <a:picLocks noChangeAspect="1"/>
                          </pic:cNvPicPr>
                        </pic:nvPicPr>
                        <pic:blipFill>
                          <a:blip r:embed="rId2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四门碗柜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1、名称：四门碗柜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*下层、侧板板厚度1.2mm,并用1.2mm厚不锈钢板折成加强筋加固；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*脚管采用Ф48*1.2mm厚不锈钢圆管；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2、参考规格：1200*550*1800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53"/>
                          <pic:cNvPicPr>
                            <a:picLocks noChangeAspect="1"/>
                          </pic:cNvPicPr>
                        </pic:nvPicPr>
                        <pic:blipFill>
                          <a:blip r:embed="rId7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双门远红外线不锈钢餐具消毒柜活动车型</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1、名称：双门远红外线不锈钢餐具消毒柜活动车型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利用远红外线穿透能力较强的特点，在有限的容积内能使重叠的餐具均得以有效消毒，消除了臭氧、蒸汽、紫外线消毒等方式难免的消毒死角，即使对肝炎病毒、芽胞杆菌、金黄色葡萄球菌、大肠杆菌等多种较难杀灭的细菌病毒，杀灭率均能达到99.9%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2．利用干式高温方法消毒，使经消毒的餐具没有臭氧、蒸汽、紫外线消毒等方式难免的残留水渍，集餐具消毒与烘干及无菌储存等功能于一身；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3．由室温至 150 ℃ 温度自由调节，使该产品具有对多种材质餐具、餐巾消毒的功能；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4．全不锈钢结构并采用低热负荷金属红外线发热管、环保矿物保温材料、毛条门密封材料等，使该产品具有耐用、安全、可靠、环保等特点。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5、参考规格：1500*720*1760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54"/>
                          <pic:cNvPicPr>
                            <a:picLocks noChangeAspect="1"/>
                          </pic:cNvPicPr>
                        </pic:nvPicPr>
                        <pic:blipFill>
                          <a:blip r:embed="rId10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R收银区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全自动筷子机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1、名称：全自动筷子机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-型号：CH-B300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-时间：20分钟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-毛重：3.5kg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-电压：220V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-频率：50Hz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-功率：12W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-参考规格：265*265*600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-容量：220双235-240mm筷子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2、参考规格：265*265*600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5"/>
                          <pic:cNvPicPr>
                            <a:picLocks noChangeAspect="1"/>
                          </pic:cNvPicPr>
                        </pic:nvPicPr>
                        <pic:blipFill>
                          <a:blip r:embed="rId103"/>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单通工作台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1、名称：单通工作台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2、参考规格：1500*700*800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57"/>
                          <pic:cNvPicPr>
                            <a:picLocks noChangeAspect="1"/>
                          </pic:cNvPicPr>
                        </pic:nvPicPr>
                        <pic:blipFill>
                          <a:blip r:embed="rId6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单通工作台</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1、名称：单通工作台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*台面厚度1.2mm，内衬4mm防水机制板并用1.2mm厚不锈钢板折成加强筋加固；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*层板、底板、侧板及门面采用1.2mm厚不锈钢板制作；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*加强筋厚度1.2mm；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*配置不锈钢可调子弹脚。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2、参考规格：1200*700*800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6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57"/>
                          <pic:cNvPicPr>
                            <a:picLocks noChangeAspect="1"/>
                          </pic:cNvPicPr>
                        </pic:nvPicPr>
                        <pic:blipFill>
                          <a:blip r:embed="rId66"/>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暖饭车</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1、名称：暖饭车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*整体采用SUS304不锈钢制作，平板厚度1.2mm；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2、参考规格：700*700*868</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59"/>
                          <pic:cNvPicPr>
                            <a:picLocks noChangeAspect="1"/>
                          </pic:cNvPicPr>
                        </pic:nvPicPr>
                        <pic:blipFill>
                          <a:blip r:embed="rId62"/>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刷卡机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1、名称：刷卡机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1.用于收银，支持单品收银、定价收银和定额收银三种模式；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2.CPU：高通骁龙8核；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3.运行内存：1GB RAM；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4.存储器：8GB ROM；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5.主屏：11.6寸多点触控电容屏；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6.客显屏：128×40Dots；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7.内置58mm热敏打印机；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8.接口：4*USB口，1*RJ11串口，1*RJ45LAN口；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9.WiFi：支持2.4G，支持IEEE802.11a/b/g/n；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10.蓝牙：支持蓝牙2.1/3.0/4.2，支持BLE；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11.NFC:支持；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12.扫码摄像头：支持；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2、参考规格：190*270*105</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3"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61"/>
                          <pic:cNvPicPr>
                            <a:picLocks noChangeAspect="1"/>
                          </pic:cNvPicPr>
                        </pic:nvPicPr>
                        <pic:blipFill>
                          <a:blip r:embed="rId104"/>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单通移门荷台柜</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1、名称：单通移门荷台柜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1.用于收银，支持单品收银、定价收银和定额收银三种模式；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2.CPU：高通骁龙8核；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3.运行内存：1GB RAM；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4.存储器：8GB ROM；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5.主屏：11.6寸多点触控电容屏；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6.客显屏：128×40Dots；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7.内置58mm热敏打印机；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8.接口：4*USB口，1*RJ11串口，1*RJ45LAN口；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9.WiFi：支持2.4G，支持IEEE802.11a/b/g/n；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10.蓝牙：支持蓝牙2.1/3.0/4.2，支持BLE；</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11.NFC:支持；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12.扫码摄像头：支持；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2、参考规格：1800*800*800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62"/>
                          <pic:cNvPicPr>
                            <a:picLocks noChangeAspect="1"/>
                          </pic:cNvPicPr>
                        </pic:nvPicPr>
                        <pic:blipFill>
                          <a:blip r:embed="rId105"/>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紫外线消毒灯</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1、名称：紫外线消毒灯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-TUV消毒灯是具有管状的玻璃外壳的低压汞气放电灯，发射短波紫外辐射，起到杀菌的作用；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-玻璃外壳把会产生臭氧的波长为185nm的辐射过滤掉；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-管壁内的保护涂层可以防止UV-C辐射的衰减。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-使用UV-C灯的设备必须要有严格的防护措施，避免紫外光外泄直接照射人体。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 功率/电压：36W/220V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2、参考规格：1213×28×28</w:t>
            </w:r>
          </w:p>
        </w:tc>
        <w:tc>
          <w:tcPr>
            <w:tcW w:w="1611" w:type="dxa"/>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FF0000"/>
                <w:kern w:val="2"/>
                <w:sz w:val="22"/>
                <w:szCs w:val="22"/>
                <w:u w:val="none"/>
                <w:lang w:val="en-US" w:eastAsia="zh-CN" w:bidi="ar-SA"/>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216535</wp:posOffset>
                  </wp:positionH>
                  <wp:positionV relativeFrom="paragraph">
                    <wp:posOffset>721360</wp:posOffset>
                  </wp:positionV>
                  <wp:extent cx="617220" cy="410845"/>
                  <wp:effectExtent l="0" t="0" r="7620" b="635"/>
                  <wp:wrapNone/>
                  <wp:docPr id="177" name="图片_1"/>
                  <wp:cNvGraphicFramePr/>
                  <a:graphic xmlns:a="http://schemas.openxmlformats.org/drawingml/2006/main">
                    <a:graphicData uri="http://schemas.openxmlformats.org/drawingml/2006/picture">
                      <pic:pic xmlns:pic="http://schemas.openxmlformats.org/drawingml/2006/picture">
                        <pic:nvPicPr>
                          <pic:cNvPr id="177" name="图片_1"/>
                          <pic:cNvPicPr/>
                        </pic:nvPicPr>
                        <pic:blipFill>
                          <a:blip r:embed="rId106"/>
                          <a:stretch>
                            <a:fillRect/>
                          </a:stretch>
                        </pic:blipFill>
                        <pic:spPr>
                          <a:xfrm>
                            <a:off x="0" y="0"/>
                            <a:ext cx="617220" cy="410845"/>
                          </a:xfrm>
                          <a:prstGeom prst="rect">
                            <a:avLst/>
                          </a:prstGeom>
                          <a:noFill/>
                          <a:ln>
                            <a:noFill/>
                          </a:ln>
                        </pic:spPr>
                      </pic:pic>
                    </a:graphicData>
                  </a:graphic>
                </wp:anchor>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灭蝇灯</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1、名称：灭蝇灯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Remark(特性参数)：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-功率：30w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-电源电压：交流200~240V，50Hz</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-覆盖面积80平方。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2、参考规格：500×120×290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drawing>
                <wp:inline distT="0" distB="0" distL="114300" distR="114300">
                  <wp:extent cx="1181100" cy="828675"/>
                  <wp:effectExtent l="0" t="0" r="7620" b="9525"/>
                  <wp:docPr id="17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64"/>
                          <pic:cNvPicPr>
                            <a:picLocks noChangeAspect="1"/>
                          </pic:cNvPicPr>
                        </pic:nvPicPr>
                        <pic:blipFill>
                          <a:blip r:embed="rId107"/>
                          <a:srcRect/>
                          <a:stretch>
                            <a:fillRect/>
                          </a:stretch>
                        </pic:blipFill>
                        <pic:spPr>
                          <a:xfrm>
                            <a:off x="0" y="0"/>
                            <a:ext cx="1181100" cy="828675"/>
                          </a:xfrm>
                          <a:prstGeom prst="rect">
                            <a:avLst/>
                          </a:prstGeom>
                        </pic:spPr>
                      </pic:pic>
                    </a:graphicData>
                  </a:graphic>
                </wp:inline>
              </w:drawing>
            </w: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厨房排烟排风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1.名称:柜式离心风机箱HTFC-I-B-9;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2.规格:风量1990m3/h，功率0.55kW;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1.名称:柜式离心风机箱HTFC-I-B-9;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2.规格:风量1680m3/h，功率0.55kW;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除臭设备</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1.名称;光氢离子除臭设备(220v,0.2kw)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杀菌设备</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1.名称;紫外线杀菌设备(220v,0.2kw)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轴流通风机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1.名称:冷库专用轴流风机LFF-4-1;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2.规格:风量5550m3/h，功率1.1kW;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轴流通风机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1.名称:冷库专用轴流风机LFF-4-2;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2.规格:风量2750m3/h，功率0.55kW;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1.名称:柜式离心风机箱HTFC-I-B-9;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2.规格:风量1280m3/h，功率0.37kW;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1.名称:低噪声厨房箱式离心风机CDT-30;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2.规格:风量39000m3/h，功率30kW;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油烟净化器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1.名称:BS-216J-42K;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2.规格:风量42000m3/h，功率1.46kW;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1.名称:柜式离心风机箱HTFC-I-B-30;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2.规格:风量30000m3/h，功率11kW;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1.名称:低噪声厨房箱式离心风机CDT-15;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2.规格:风量9900m3/h，功率7.5kW;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1.名称:柜式离心风机箱HTFC-I-B-15;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2.规格:风量7000m3/h，功率2.2kW;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1.名称:低噪声厨房箱式离心风机CDT-20;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2.规格:风量11400m3/h，功率11kW;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1.名称:柜式离心风机箱HTFC-I-B-15;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2.规格:风量8000m3/h，功率3.0kW;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1.名称:柜式离心风机箱HTFC-15;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2.规格:风量10300m3/h，功率3.0kW;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轴流通风机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1.名称:离心通风机CF-2.5A;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2.规格:风量2400m3/h，功率1.1kW;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轴流通风机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1.名称:离心通风机CF-2.5A;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2.规格:风量1800m3/h，功率1.1kW;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轴流通风机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1.名称:低噪声轴流风机</w:t>
            </w:r>
            <w:r>
              <w:rPr>
                <w:rFonts w:hint="eastAsia" w:ascii="宋体" w:hAnsi="宋体" w:eastAsia="宋体" w:cs="宋体"/>
                <w:i w:val="0"/>
                <w:iCs w:val="0"/>
                <w:color w:val="000000"/>
                <w:kern w:val="0"/>
                <w:sz w:val="20"/>
                <w:szCs w:val="20"/>
                <w:highlight w:val="cyan"/>
                <w:u w:val="none"/>
                <w:lang w:val="en-US" w:eastAsia="zh-CN" w:bidi="ar"/>
              </w:rPr>
              <w:t>JSF-5-I-Ex;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2.规格:风量12700m3/h，功率4.0kW;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轴流通风机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1.名称:低噪声轴流风机JSF-4-I-Ex;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2.规格:风量6500m3/h，功率1.5kW;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离心式通风机</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1.名称:静音管道风机JDF-J-200-75;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2.规格:风量500m3/h，功率0.11kW;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3.减振、除锈刷油:含支吊架制安及其除锈防腐刷油、减震装置,根据图纸考虑计入;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4.其他:其他技术参数详见图纸.</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177.16</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3.规格:长边长或直径（mm）≤450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31.64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4.板材厚度:δ=0.6mm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407.23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1.名称:镀锌薄钢板风管（管井）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4.板材厚度:δ=0.6mm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74.4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4.板材厚度:δ=0.75mm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44.68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3.规格:长边长或直径（mm）≤2000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96.53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碳钢通风管道</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2.形状:矩形或圆形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3.规格:长边长或直径（mm）≤4000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4.板材厚度:δ=1.2mm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5.管件、法兰等附件及支架设计要求:支吊架除锈防腐刷油按设计说明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5.83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油烟风管</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1.预制式不锈钢烟管(内层SUS304 1.2mm )1400*600 ,保温为50mm厚的玻璃棉,外层0.75mm镀锌钢板;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2.含所有配件;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3.含支吊架，防腐除锈按设计要求.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25.68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油烟风管</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1.预制式不锈钢烟管(内层SUS304 1.2mm )800*500 ,保温为50mm厚的玻璃棉,外层0.75mm镀锌钢板;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2.含所有配件;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3.含支吊架，防腐除锈按设计要求.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油烟风管</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1.预制式不锈钢烟管(内层SUS304 1.2mm )500*600 ,保温为50mm厚的玻璃棉,外层0.75mm镀锌钢板;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2.含所有配件;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3.含支吊架，防腐除锈按设计要求.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油烟风管</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1.预制式不锈钢烟管(内层SUS304 1.2mm )630*500 ,保温为50mm厚的玻璃棉,外层0.75mm镀锌钢板;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2.含所有配件;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3.含支吊架，防腐除锈按设计要求.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油烟风管</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1.（管井）预制式不锈钢烟管(内层SUS304 1.2mm )500*600 ,保温为50mm厚的玻璃棉,外层0.75mm镀锌钢板;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2.含所有配件;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3.含支吊架，防腐除锈按设计要求.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油烟风管</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1.（管井）预制式不锈钢烟管(内层SUS304 1.2mm )1400*600 ,保温为50mm厚的玻璃棉,外层0.75mm镀锌钢板;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2.含所有配件;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3.含支吊架，防腐除锈按设计要求.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柔性接口</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1.名称:软接管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2.其他:按设计要求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8.5</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1.名称:150℃防火阀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2.规格:1400*600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1.名称:150℃防火阀（管井）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2.规格:1400*600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2.规格:1600*630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1.名称:150℃防火阀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2.规格:630*320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1.名称:150℃防火阀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1.名称:70℃防火阀(管井）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1.名称:70℃防火阀(管井）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1.名称:70℃防火阀(管井）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1.名称:70℃防火阀(管井）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1.名称:电动对开多叶调节阀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1.名称:电动对开多叶调节阀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2.规格:1600*630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1.名称:电动对开多叶调节阀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1.名称:电动对开多叶调节阀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1.名称:电动对开多叶调节阀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1.名称:电动对开多叶调节阀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1.名称:风管蝶阀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2.规格:320*200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1.名称:风管蝶阀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2.规格:400*200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2.规格:500*250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1.名称:对开多叶调节阀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1.名称:风管止回阀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碳钢阀门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1.名称:风管止回阀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2.规格:500*500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1.名称:单层百叶风口（FV)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2.规格:200*200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1.名称:单层百叶风口（FV)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1.名称:单层百叶风口（FV)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2.规格:300*300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2.规格:400*400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1.名称:单层百叶风口（FV)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2.规格:500*400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1.名称:单层百叶风口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2.规格:1200*630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2.规格:1600*500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2.规格:1000*600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2.规格:2000*1200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2.规格:600*250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2.规格:600*320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2.规格:600*500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1.名称:防雨防虫百叶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2.规格:500*200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2.规格:2000*300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2.规格:600*400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95</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2.规格:500*300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96</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铝及铝合金风口、散流器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1.名称:双层百叶风口（FV)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2.规格:150*100</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97</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1.名称:XZP消声器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2.规格:250*250*1000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98</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1.名称:XZP消声器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2.规格:630*500*1000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99</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1.名称:XZP消声器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2.规格:600*600*1000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1.名称:XZP消声器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2.规格:1600*630*1000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1.名称:穿孔板共振性消声器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2.规格:1400*600*1000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1.名称:穿孔板共振性消声器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2.规格:500*600*1000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消声器</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1.名称:穿孔板共振性消声器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2.规格:400*600*1000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3.支架形式、材质:支吊架除锈防腐刷油按设计说明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4.其他:具体参数要求详见设计</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通风工程检测、调试</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通风工程检测、调试</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系统</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p>
        </w:tc>
        <w:tc>
          <w:tcPr>
            <w:tcW w:w="9812" w:type="dxa"/>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厨房建筑工程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砖地沟、明沟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1.厨房地沟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2.120厚MU20混凝土实心砖,DM10干混砌筑砂浆</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7.25</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楼（地）面涂膜防水</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1.聚氨脂防水涂膜防水层俩道</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116.31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块料楼地面</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排水沟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1.贴5mm厚白色瓷砖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2.20厚1:3干硬性水泥砂浆粘合层</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116.31</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69"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52"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轻集料混凝土</w:t>
            </w:r>
          </w:p>
        </w:tc>
        <w:tc>
          <w:tcPr>
            <w:tcW w:w="3397" w:type="dxa"/>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降板处回填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1.轻集料混凝土回填（回填厚度详见结构图纸）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2.具体详见图纸及设计说明</w:t>
            </w:r>
          </w:p>
        </w:tc>
        <w:tc>
          <w:tcPr>
            <w:tcW w:w="1611"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7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64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315.04</w:t>
            </w:r>
          </w:p>
        </w:tc>
        <w:tc>
          <w:tcPr>
            <w:tcW w:w="859" w:type="dxa"/>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kern w:val="0"/>
                <w:sz w:val="21"/>
                <w:szCs w:val="21"/>
                <w:u w:val="none"/>
                <w:lang w:val="en-US" w:eastAsia="zh-CN" w:bidi="ar"/>
              </w:rPr>
            </w:pPr>
          </w:p>
        </w:tc>
        <w:tc>
          <w:tcPr>
            <w:tcW w:w="840" w:type="dxa"/>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c>
          <w:tcPr>
            <w:tcW w:w="1089" w:type="dxa"/>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21" w:type="dxa"/>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378" w:type="dxa"/>
            <w:gridSpan w:val="3"/>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3434" w:type="dxa"/>
            <w:gridSpan w:val="4"/>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tc>
      </w:tr>
    </w:tbl>
    <w:p/>
    <w:p>
      <w:pPr>
        <w:rPr>
          <w:szCs w:val="21"/>
        </w:rPr>
      </w:pPr>
    </w:p>
    <w:p>
      <w:pPr>
        <w:spacing w:line="300" w:lineRule="exact"/>
        <w:ind w:firstLine="283" w:firstLineChars="135"/>
        <w:rPr>
          <w:rFonts w:hint="eastAsia"/>
          <w:szCs w:val="21"/>
        </w:rPr>
      </w:pPr>
      <w:r>
        <w:t>注：</w:t>
      </w:r>
      <w:r>
        <w:rPr>
          <w:rFonts w:hint="eastAsia"/>
          <w:szCs w:val="21"/>
        </w:rPr>
        <w:t>1、此表报价单不得涂改，请按规定要求填报。</w:t>
      </w:r>
    </w:p>
    <w:p>
      <w:pPr>
        <w:spacing w:line="300" w:lineRule="exact"/>
        <w:ind w:firstLine="283" w:firstLineChars="135"/>
        <w:rPr>
          <w:rFonts w:hint="default"/>
          <w:szCs w:val="21"/>
          <w:lang w:val="en-US" w:eastAsia="zh-CN"/>
        </w:rPr>
      </w:pPr>
      <w:r>
        <w:rPr>
          <w:rFonts w:hint="eastAsia"/>
          <w:szCs w:val="21"/>
          <w:lang w:val="en-US" w:eastAsia="zh-CN"/>
        </w:rPr>
        <w:t xml:space="preserve">    </w:t>
      </w:r>
      <w:r>
        <w:rPr>
          <w:rFonts w:hint="eastAsia"/>
          <w:szCs w:val="21"/>
          <w:highlight w:val="cyan"/>
          <w:lang w:val="en-US" w:eastAsia="zh-CN"/>
        </w:rPr>
        <w:t>2、本项目技术要求中涉及的检测报告中标后供货前提供，如届时不能提供，将按照不能响应招标文件处理。</w:t>
      </w:r>
    </w:p>
    <w:p>
      <w:pPr>
        <w:spacing w:line="300" w:lineRule="exact"/>
        <w:ind w:firstLine="699" w:firstLineChars="333"/>
        <w:rPr>
          <w:rFonts w:hint="eastAsia"/>
          <w:szCs w:val="21"/>
        </w:rPr>
      </w:pPr>
      <w:bookmarkStart w:id="156" w:name="_Toc29462"/>
      <w:r>
        <w:rPr>
          <w:rFonts w:hint="eastAsia"/>
          <w:szCs w:val="21"/>
          <w:lang w:val="en-US" w:eastAsia="zh-CN"/>
        </w:rPr>
        <w:t>3、</w:t>
      </w:r>
      <w:r>
        <w:rPr>
          <w:rFonts w:hint="eastAsia"/>
          <w:szCs w:val="21"/>
        </w:rPr>
        <w:t>投标人的投标报价包括：</w:t>
      </w:r>
      <w:bookmarkEnd w:id="156"/>
    </w:p>
    <w:p>
      <w:pPr>
        <w:spacing w:line="300" w:lineRule="exact"/>
        <w:ind w:left="210" w:leftChars="100" w:firstLine="487" w:firstLineChars="232"/>
        <w:rPr>
          <w:rFonts w:hint="eastAsia"/>
          <w:szCs w:val="21"/>
        </w:rPr>
      </w:pPr>
      <w:r>
        <w:rPr>
          <w:rFonts w:hint="eastAsia"/>
          <w:szCs w:val="21"/>
        </w:rPr>
        <w:t>①按照本项目招标人提供的设计图纸、货物清单以及本项目技术要求（包括如遇到图纸、货物清单不明确或缺项的内容须无条件满足招标人功能要求进行的设计）；</w:t>
      </w:r>
    </w:p>
    <w:p>
      <w:pPr>
        <w:spacing w:line="300" w:lineRule="exact"/>
        <w:ind w:left="210" w:leftChars="100" w:firstLine="487" w:firstLineChars="232"/>
        <w:rPr>
          <w:rFonts w:hint="eastAsia"/>
          <w:szCs w:val="21"/>
        </w:rPr>
      </w:pPr>
      <w:r>
        <w:rPr>
          <w:rFonts w:hint="eastAsia"/>
          <w:szCs w:val="21"/>
        </w:rPr>
        <w:t>②设备供货、运输、卸货、保管、施工、安装、调试、检测等相关费用，并最终通过验收，同时负责技术服务与培训；</w:t>
      </w:r>
    </w:p>
    <w:p>
      <w:pPr>
        <w:spacing w:line="300" w:lineRule="exact"/>
        <w:ind w:firstLine="699" w:firstLineChars="333"/>
        <w:rPr>
          <w:rFonts w:hint="eastAsia"/>
          <w:szCs w:val="21"/>
        </w:rPr>
      </w:pPr>
      <w:r>
        <w:rPr>
          <w:rFonts w:hint="eastAsia"/>
          <w:szCs w:val="21"/>
        </w:rPr>
        <w:t>③深化设计增加的费用（含材料、设备及安装费）；</w:t>
      </w:r>
    </w:p>
    <w:p>
      <w:pPr>
        <w:spacing w:line="300" w:lineRule="exact"/>
        <w:ind w:left="210" w:leftChars="100" w:firstLine="487" w:firstLineChars="232"/>
        <w:rPr>
          <w:rFonts w:hint="eastAsia"/>
          <w:szCs w:val="21"/>
        </w:rPr>
      </w:pPr>
      <w:r>
        <w:rPr>
          <w:rFonts w:hint="eastAsia"/>
          <w:szCs w:val="21"/>
        </w:rPr>
        <w:t>④项目实施过程中的开孔和完工后的填补、修复与清理费用（如用水泥砂浆、砼材料填实设备、框架及建筑结构之间的缝隙；外露的电线、管道修补、批灰、面层修饰等工作）</w:t>
      </w:r>
    </w:p>
    <w:p>
      <w:pPr>
        <w:spacing w:line="300" w:lineRule="exact"/>
        <w:ind w:left="210" w:leftChars="100" w:firstLine="491" w:firstLineChars="234"/>
        <w:rPr>
          <w:szCs w:val="21"/>
        </w:rPr>
      </w:pPr>
      <w:r>
        <w:rPr>
          <w:rFonts w:hint="eastAsia"/>
          <w:szCs w:val="21"/>
        </w:rPr>
        <w:t>特别提醒：招标人在招标文件中给出的货物清单仅仅是为了方便本次招标，本工程实际发生的货物清单应该以招标人最终批准的由中标人完成的进一步深化设计图纸所对应的货物清单为准，本工程实际发生的货物清单供货安装费用与本次招标货物清单供货安装费用的差额请投标人充分考虑全部包含在本次投标总价中，中标后一律不予调整，如因甲方要求增加或减少工作内容，则按实调整。本项目纳入总承包管理范围，总承包管理服务内容详见招标文件，总承包管理服务费已包含在总承包合同价款中，如投标人需总承包单位提供总承包管理服务内容外的其他配合服务，相关费用由投标人综合考虑计入投标报价。</w:t>
      </w:r>
    </w:p>
    <w:p>
      <w:pPr>
        <w:pStyle w:val="25"/>
        <w:ind w:firstLine="283" w:firstLineChars="135"/>
        <w:rPr>
          <w:sz w:val="21"/>
          <w:szCs w:val="21"/>
        </w:rPr>
      </w:pPr>
    </w:p>
    <w:p>
      <w:pPr>
        <w:pStyle w:val="25"/>
        <w:ind w:firstLine="283" w:firstLineChars="135"/>
      </w:pPr>
      <w:r>
        <w:rPr>
          <w:rFonts w:hint="eastAsia"/>
          <w:sz w:val="21"/>
          <w:szCs w:val="21"/>
        </w:rPr>
        <w:t>投标人：（盖单位公章）</w:t>
      </w:r>
    </w:p>
    <w:p>
      <w:pPr>
        <w:ind w:firstLine="283" w:firstLineChars="135"/>
        <w:rPr>
          <w:szCs w:val="21"/>
        </w:rPr>
      </w:pPr>
    </w:p>
    <w:p>
      <w:pPr>
        <w:ind w:firstLine="283" w:firstLineChars="135"/>
        <w:rPr>
          <w:szCs w:val="21"/>
        </w:rPr>
      </w:pPr>
      <w:r>
        <w:rPr>
          <w:rFonts w:hint="eastAsia"/>
          <w:szCs w:val="21"/>
        </w:rPr>
        <w:t>法定代表人或其委托代理人：</w:t>
      </w:r>
    </w:p>
    <w:p>
      <w:pPr>
        <w:ind w:firstLine="283" w:firstLineChars="135"/>
        <w:rPr>
          <w:szCs w:val="21"/>
        </w:rPr>
      </w:pPr>
    </w:p>
    <w:p>
      <w:pPr>
        <w:ind w:firstLine="283" w:firstLineChars="135"/>
        <w:rPr>
          <w:szCs w:val="21"/>
        </w:rPr>
      </w:pPr>
      <w:r>
        <w:rPr>
          <w:rFonts w:hint="eastAsia"/>
          <w:szCs w:val="21"/>
        </w:rPr>
        <w:t xml:space="preserve">（签名或盖章 ） </w:t>
      </w:r>
    </w:p>
    <w:p>
      <w:pPr>
        <w:ind w:firstLine="283" w:firstLineChars="135"/>
        <w:rPr>
          <w:szCs w:val="21"/>
        </w:rPr>
      </w:pPr>
    </w:p>
    <w:p>
      <w:pPr>
        <w:ind w:firstLine="283" w:firstLineChars="135"/>
        <w:sectPr>
          <w:pgSz w:w="11910" w:h="16840"/>
          <w:pgMar w:top="851" w:right="601" w:bottom="851" w:left="879" w:header="720" w:footer="720" w:gutter="0"/>
          <w:pgNumType w:fmt="decimal"/>
          <w:cols w:space="720" w:num="1"/>
        </w:sectPr>
      </w:pPr>
      <w:r>
        <w:rPr>
          <w:rFonts w:hint="eastAsia"/>
          <w:szCs w:val="21"/>
        </w:rPr>
        <w:t>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pPr>
        <w:ind w:firstLine="1084" w:firstLineChars="300"/>
        <w:rPr>
          <w:b/>
          <w:bCs/>
          <w:sz w:val="36"/>
          <w:szCs w:val="36"/>
        </w:rPr>
      </w:pPr>
      <w:bookmarkStart w:id="157" w:name="五、招标文件要求提供的其它内容"/>
      <w:bookmarkEnd w:id="157"/>
      <w:bookmarkStart w:id="158" w:name="_Toc15950"/>
      <w:r>
        <w:rPr>
          <w:rFonts w:hint="eastAsia"/>
          <w:b/>
          <w:bCs/>
          <w:sz w:val="36"/>
          <w:szCs w:val="36"/>
        </w:rPr>
        <w:t>五、招标文件要求或投标人认为需要的其他资料</w:t>
      </w:r>
      <w:bookmarkEnd w:id="158"/>
    </w:p>
    <w:p>
      <w:pPr>
        <w:spacing w:before="30"/>
        <w:ind w:right="1153"/>
        <w:jc w:val="center"/>
        <w:rPr>
          <w:w w:val="95"/>
          <w:sz w:val="32"/>
        </w:rPr>
      </w:pPr>
    </w:p>
    <w:p>
      <w:pPr>
        <w:rPr>
          <w:sz w:val="32"/>
        </w:rPr>
        <w:sectPr>
          <w:pgSz w:w="11910" w:h="16840"/>
          <w:pgMar w:top="1400" w:right="601" w:bottom="278" w:left="879" w:header="0" w:footer="993" w:gutter="0"/>
          <w:pgNumType w:fmt="decimal"/>
          <w:cols w:space="720" w:num="1"/>
        </w:sectPr>
      </w:pPr>
    </w:p>
    <w:p>
      <w:pPr>
        <w:pStyle w:val="12"/>
        <w:rPr>
          <w:sz w:val="20"/>
        </w:rPr>
      </w:pPr>
    </w:p>
    <w:p>
      <w:pPr>
        <w:pStyle w:val="12"/>
        <w:rPr>
          <w:sz w:val="20"/>
        </w:rPr>
      </w:pPr>
    </w:p>
    <w:p>
      <w:pPr>
        <w:pStyle w:val="12"/>
        <w:rPr>
          <w:sz w:val="20"/>
        </w:rPr>
      </w:pPr>
    </w:p>
    <w:p>
      <w:pPr>
        <w:pStyle w:val="12"/>
        <w:rPr>
          <w:sz w:val="20"/>
        </w:rPr>
      </w:pPr>
    </w:p>
    <w:p>
      <w:pPr>
        <w:pStyle w:val="12"/>
        <w:rPr>
          <w:sz w:val="20"/>
        </w:rPr>
      </w:pPr>
    </w:p>
    <w:p>
      <w:pPr>
        <w:pStyle w:val="11"/>
        <w:jc w:val="center"/>
        <w:rPr>
          <w:rFonts w:ascii="宋体" w:eastAsia="宋体"/>
          <w:color w:val="auto"/>
          <w:sz w:val="48"/>
          <w:szCs w:val="48"/>
        </w:rPr>
      </w:pPr>
      <w:bookmarkStart w:id="159" w:name="技术标部分目录"/>
      <w:bookmarkEnd w:id="159"/>
      <w:r>
        <w:rPr>
          <w:rFonts w:hint="eastAsia" w:ascii="宋体" w:eastAsia="宋体"/>
          <w:color w:val="auto"/>
          <w:sz w:val="48"/>
          <w:u w:val="single"/>
        </w:rPr>
        <w:t xml:space="preserve"> </w:t>
      </w:r>
      <w:r>
        <w:rPr>
          <w:rFonts w:hint="eastAsia" w:ascii="宋体" w:eastAsia="宋体"/>
          <w:color w:val="auto"/>
          <w:sz w:val="48"/>
          <w:u w:val="single"/>
        </w:rPr>
        <w:tab/>
      </w:r>
      <w:r>
        <w:rPr>
          <w:rFonts w:hint="eastAsia" w:ascii="宋体" w:eastAsia="宋体"/>
          <w:color w:val="auto"/>
          <w:sz w:val="48"/>
          <w:u w:val="single"/>
        </w:rPr>
        <w:t xml:space="preserve">              </w:t>
      </w:r>
      <w:r>
        <w:rPr>
          <w:rFonts w:hint="eastAsia" w:ascii="宋体" w:eastAsia="宋体"/>
          <w:color w:val="auto"/>
          <w:sz w:val="52"/>
          <w:szCs w:val="52"/>
        </w:rPr>
        <w:t>项目</w:t>
      </w:r>
    </w:p>
    <w:p>
      <w:pPr>
        <w:tabs>
          <w:tab w:val="left" w:pos="3047"/>
        </w:tabs>
        <w:spacing w:before="198"/>
        <w:ind w:right="474"/>
        <w:jc w:val="center"/>
        <w:outlineLvl w:val="0"/>
        <w:rPr>
          <w:sz w:val="48"/>
        </w:rPr>
      </w:pPr>
    </w:p>
    <w:p>
      <w:pPr>
        <w:pStyle w:val="12"/>
        <w:rPr>
          <w:sz w:val="52"/>
        </w:rPr>
      </w:pPr>
    </w:p>
    <w:p>
      <w:pPr>
        <w:pStyle w:val="12"/>
        <w:rPr>
          <w:sz w:val="52"/>
        </w:rPr>
      </w:pPr>
    </w:p>
    <w:p>
      <w:pPr>
        <w:pStyle w:val="12"/>
        <w:rPr>
          <w:sz w:val="52"/>
        </w:rPr>
      </w:pPr>
    </w:p>
    <w:p>
      <w:pPr>
        <w:pStyle w:val="12"/>
        <w:rPr>
          <w:sz w:val="52"/>
        </w:rPr>
      </w:pPr>
    </w:p>
    <w:p>
      <w:pPr>
        <w:pStyle w:val="12"/>
        <w:spacing w:before="9"/>
        <w:rPr>
          <w:sz w:val="68"/>
        </w:rPr>
      </w:pPr>
    </w:p>
    <w:p>
      <w:pPr>
        <w:pStyle w:val="11"/>
        <w:jc w:val="center"/>
        <w:rPr>
          <w:rFonts w:ascii="宋体" w:eastAsia="宋体"/>
          <w:color w:val="auto"/>
          <w:sz w:val="48"/>
          <w:szCs w:val="48"/>
        </w:rPr>
      </w:pPr>
      <w:bookmarkStart w:id="160" w:name="_Toc745"/>
      <w:r>
        <w:rPr>
          <w:rFonts w:hint="eastAsia" w:ascii="宋体" w:eastAsia="宋体"/>
          <w:color w:val="auto"/>
          <w:sz w:val="48"/>
          <w:szCs w:val="48"/>
        </w:rPr>
        <w:t>投 标 文 件</w:t>
      </w:r>
      <w:bookmarkEnd w:id="160"/>
    </w:p>
    <w:p>
      <w:pPr>
        <w:pStyle w:val="11"/>
        <w:jc w:val="center"/>
        <w:rPr>
          <w:rFonts w:ascii="宋体" w:eastAsia="宋体"/>
          <w:color w:val="auto"/>
        </w:rPr>
      </w:pPr>
      <w:bookmarkStart w:id="161" w:name="_Toc28763"/>
      <w:r>
        <w:rPr>
          <w:rFonts w:hint="eastAsia" w:ascii="宋体" w:eastAsia="宋体"/>
          <w:color w:val="auto"/>
          <w:sz w:val="48"/>
          <w:szCs w:val="48"/>
        </w:rPr>
        <w:t>（资信、技术标文件</w:t>
      </w:r>
      <w:r>
        <w:rPr>
          <w:rFonts w:hint="eastAsia" w:ascii="宋体" w:eastAsia="宋体"/>
          <w:color w:val="auto"/>
        </w:rPr>
        <w:t>）</w:t>
      </w:r>
      <w:bookmarkEnd w:id="161"/>
    </w:p>
    <w:p>
      <w:pPr>
        <w:pStyle w:val="12"/>
        <w:rPr>
          <w:sz w:val="52"/>
        </w:rPr>
      </w:pPr>
    </w:p>
    <w:p>
      <w:pPr>
        <w:pStyle w:val="12"/>
        <w:rPr>
          <w:sz w:val="52"/>
        </w:rPr>
      </w:pPr>
    </w:p>
    <w:p>
      <w:pPr>
        <w:pStyle w:val="12"/>
        <w:rPr>
          <w:sz w:val="52"/>
        </w:rPr>
      </w:pPr>
    </w:p>
    <w:p>
      <w:pPr>
        <w:pStyle w:val="22"/>
      </w:pPr>
    </w:p>
    <w:p>
      <w:pPr>
        <w:pStyle w:val="12"/>
        <w:spacing w:before="9"/>
        <w:rPr>
          <w:sz w:val="59"/>
        </w:rPr>
      </w:pPr>
    </w:p>
    <w:p>
      <w:pPr>
        <w:pStyle w:val="5"/>
        <w:tabs>
          <w:tab w:val="left" w:pos="6092"/>
        </w:tabs>
        <w:ind w:left="0" w:right="465"/>
        <w:jc w:val="center"/>
      </w:pPr>
      <w:bookmarkStart w:id="162" w:name="_Toc6916"/>
      <w:r>
        <w:rPr>
          <w:rFonts w:hint="eastAsia"/>
          <w:spacing w:val="-1"/>
        </w:rPr>
        <w:t>投标人（</w:t>
      </w:r>
      <w:r>
        <w:rPr>
          <w:rFonts w:hint="eastAsia"/>
        </w:rPr>
        <w:t>盖单位公章）：</w:t>
      </w:r>
      <w:bookmarkEnd w:id="162"/>
      <w:r>
        <w:rPr>
          <w:rFonts w:hint="eastAsia"/>
          <w:u w:val="single"/>
        </w:rPr>
        <w:t xml:space="preserve"> </w:t>
      </w:r>
      <w:r>
        <w:rPr>
          <w:rFonts w:hint="eastAsia"/>
          <w:u w:val="single"/>
        </w:rPr>
        <w:tab/>
      </w:r>
    </w:p>
    <w:p>
      <w:pPr>
        <w:pStyle w:val="12"/>
        <w:spacing w:before="10"/>
        <w:rPr>
          <w:sz w:val="16"/>
        </w:rPr>
      </w:pPr>
    </w:p>
    <w:p>
      <w:pPr>
        <w:pStyle w:val="5"/>
        <w:tabs>
          <w:tab w:val="left" w:pos="6092"/>
        </w:tabs>
        <w:spacing w:before="71"/>
        <w:ind w:left="0" w:right="465"/>
        <w:jc w:val="center"/>
      </w:pPr>
      <w:bookmarkStart w:id="163" w:name="_Toc2815"/>
      <w:r>
        <w:rPr>
          <w:rFonts w:hint="eastAsia"/>
          <w:spacing w:val="-1"/>
        </w:rPr>
        <w:t>法定代表人或其委托代理人（签名</w:t>
      </w:r>
      <w:r>
        <w:rPr>
          <w:rFonts w:hint="eastAsia"/>
        </w:rPr>
        <w:t>或盖章）：</w:t>
      </w:r>
      <w:bookmarkEnd w:id="163"/>
      <w:r>
        <w:rPr>
          <w:rFonts w:hint="eastAsia"/>
          <w:u w:val="single"/>
        </w:rPr>
        <w:t xml:space="preserve"> </w:t>
      </w:r>
      <w:r>
        <w:rPr>
          <w:rFonts w:hint="eastAsia"/>
          <w:u w:val="single"/>
        </w:rPr>
        <w:tab/>
      </w:r>
    </w:p>
    <w:p>
      <w:pPr>
        <w:pStyle w:val="12"/>
        <w:spacing w:before="8"/>
        <w:rPr>
          <w:sz w:val="17"/>
        </w:rPr>
      </w:pPr>
    </w:p>
    <w:p>
      <w:pPr>
        <w:pStyle w:val="5"/>
        <w:tabs>
          <w:tab w:val="left" w:pos="6904"/>
        </w:tabs>
        <w:spacing w:before="62"/>
        <w:ind w:left="1932"/>
      </w:pPr>
      <w:bookmarkStart w:id="164" w:name="_Toc20568"/>
      <w:r>
        <w:rPr>
          <w:rFonts w:hint="eastAsia"/>
        </w:rPr>
        <w:t>日期：</w:t>
      </w:r>
      <w:bookmarkEnd w:id="164"/>
      <w:r>
        <w:rPr>
          <w:rFonts w:hint="eastAsia"/>
          <w:u w:val="single"/>
        </w:rPr>
        <w:t xml:space="preserve"> </w:t>
      </w:r>
      <w:r>
        <w:rPr>
          <w:rFonts w:hint="eastAsia"/>
          <w:u w:val="single"/>
        </w:rPr>
        <w:tab/>
      </w:r>
    </w:p>
    <w:p>
      <w:pPr>
        <w:sectPr>
          <w:footerReference r:id="rId7" w:type="default"/>
          <w:pgSz w:w="11910" w:h="16840"/>
          <w:pgMar w:top="1400" w:right="601" w:bottom="1474" w:left="879" w:header="0" w:footer="1134" w:gutter="0"/>
          <w:pgNumType w:fmt="decimal"/>
          <w:cols w:space="720" w:num="1"/>
          <w:docGrid w:linePitch="286" w:charSpace="0"/>
        </w:sectPr>
      </w:pPr>
    </w:p>
    <w:p>
      <w:pPr>
        <w:spacing w:before="24"/>
        <w:ind w:right="277"/>
        <w:jc w:val="center"/>
        <w:rPr>
          <w:sz w:val="44"/>
        </w:rPr>
      </w:pPr>
    </w:p>
    <w:p>
      <w:pPr>
        <w:spacing w:before="24"/>
        <w:ind w:right="277"/>
        <w:jc w:val="center"/>
        <w:rPr>
          <w:sz w:val="44"/>
        </w:rPr>
      </w:pPr>
    </w:p>
    <w:p>
      <w:pPr>
        <w:spacing w:before="24"/>
        <w:ind w:right="277"/>
        <w:jc w:val="center"/>
        <w:rPr>
          <w:sz w:val="44"/>
        </w:rPr>
      </w:pPr>
      <w:r>
        <w:rPr>
          <w:rFonts w:hint="eastAsia"/>
          <w:sz w:val="44"/>
        </w:rPr>
        <w:t>资信、技术标部分目录</w:t>
      </w:r>
    </w:p>
    <w:p>
      <w:pPr>
        <w:pStyle w:val="20"/>
        <w:outlineLvl w:val="9"/>
      </w:pPr>
    </w:p>
    <w:p>
      <w:pPr>
        <w:pStyle w:val="5"/>
        <w:ind w:left="814"/>
      </w:pPr>
    </w:p>
    <w:p>
      <w:pPr>
        <w:pStyle w:val="5"/>
        <w:spacing w:line="360" w:lineRule="auto"/>
        <w:ind w:left="814" w:firstLine="280" w:firstLineChars="100"/>
      </w:pPr>
      <w:bookmarkStart w:id="165" w:name="_Toc20704"/>
      <w:r>
        <w:rPr>
          <w:rFonts w:hint="eastAsia"/>
        </w:rPr>
        <w:t>一、资格审查资料</w:t>
      </w:r>
      <w:bookmarkEnd w:id="165"/>
    </w:p>
    <w:p>
      <w:pPr>
        <w:pStyle w:val="5"/>
        <w:spacing w:line="360" w:lineRule="auto"/>
        <w:ind w:left="814" w:firstLine="280" w:firstLineChars="100"/>
      </w:pPr>
      <w:bookmarkStart w:id="166" w:name="_Toc27709"/>
      <w:r>
        <w:rPr>
          <w:rFonts w:hint="eastAsia"/>
        </w:rPr>
        <w:t>二、资信、技术评分资料</w:t>
      </w:r>
      <w:bookmarkEnd w:id="166"/>
    </w:p>
    <w:p>
      <w:pPr>
        <w:pStyle w:val="11"/>
        <w:spacing w:line="360" w:lineRule="auto"/>
        <w:ind w:firstLine="960" w:firstLineChars="400"/>
        <w:rPr>
          <w:rFonts w:ascii="宋体" w:eastAsia="宋体"/>
          <w:color w:val="auto"/>
          <w:szCs w:val="24"/>
        </w:rPr>
      </w:pPr>
    </w:p>
    <w:p>
      <w:pPr>
        <w:pStyle w:val="12"/>
      </w:pPr>
    </w:p>
    <w:p>
      <w:pPr>
        <w:pStyle w:val="12"/>
        <w:spacing w:before="12"/>
        <w:rPr>
          <w:sz w:val="26"/>
        </w:rPr>
      </w:pPr>
    </w:p>
    <w:p>
      <w:pPr>
        <w:pStyle w:val="5"/>
        <w:ind w:left="814" w:firstLine="280" w:firstLineChars="100"/>
      </w:pPr>
      <w:bookmarkStart w:id="167" w:name="注：上述内容如未提供格式，均可自拟。"/>
      <w:bookmarkEnd w:id="167"/>
      <w:bookmarkStart w:id="168" w:name="_Toc234"/>
      <w:r>
        <w:rPr>
          <w:rFonts w:hint="eastAsia"/>
        </w:rPr>
        <w:t>注：上述内容如未提供格式，均可自拟。</w:t>
      </w:r>
      <w:bookmarkEnd w:id="168"/>
    </w:p>
    <w:p>
      <w:pPr>
        <w:sectPr>
          <w:footerReference r:id="rId8" w:type="default"/>
          <w:pgSz w:w="11910" w:h="16840"/>
          <w:pgMar w:top="1400" w:right="601" w:bottom="278" w:left="879" w:header="0" w:footer="993" w:gutter="0"/>
          <w:pgNumType w:fmt="decimal"/>
          <w:cols w:space="720" w:num="1"/>
        </w:sectPr>
      </w:pPr>
    </w:p>
    <w:p>
      <w:pPr>
        <w:pStyle w:val="12"/>
        <w:ind w:left="415" w:right="277"/>
        <w:jc w:val="both"/>
      </w:pPr>
    </w:p>
    <w:p>
      <w:pPr>
        <w:pStyle w:val="3"/>
        <w:jc w:val="center"/>
        <w:rPr>
          <w:rFonts w:ascii="宋体" w:hAnsi="宋体" w:eastAsia="宋体" w:cs="宋体"/>
          <w:sz w:val="36"/>
          <w:szCs w:val="36"/>
        </w:rPr>
      </w:pPr>
      <w:bookmarkStart w:id="169" w:name="_Toc31433"/>
      <w:r>
        <w:rPr>
          <w:rFonts w:hint="eastAsia" w:ascii="宋体" w:hAnsi="宋体" w:eastAsia="宋体" w:cs="宋体"/>
          <w:sz w:val="36"/>
          <w:szCs w:val="36"/>
        </w:rPr>
        <w:t>一、资格审查资料</w:t>
      </w:r>
      <w:bookmarkEnd w:id="169"/>
    </w:p>
    <w:p>
      <w:pPr>
        <w:pStyle w:val="12"/>
        <w:rPr>
          <w:sz w:val="20"/>
        </w:rPr>
      </w:pPr>
    </w:p>
    <w:p>
      <w:pPr>
        <w:snapToGrid w:val="0"/>
        <w:spacing w:line="400" w:lineRule="exact"/>
        <w:textAlignment w:val="baseline"/>
        <w:rPr>
          <w:sz w:val="24"/>
          <w:szCs w:val="24"/>
        </w:rPr>
      </w:pPr>
    </w:p>
    <w:p>
      <w:pPr>
        <w:spacing w:line="360" w:lineRule="auto"/>
        <w:ind w:firstLine="720" w:firstLineChars="300"/>
        <w:rPr>
          <w:sz w:val="24"/>
          <w:szCs w:val="24"/>
        </w:rPr>
      </w:pPr>
      <w:r>
        <w:rPr>
          <w:rFonts w:hint="eastAsia"/>
          <w:sz w:val="24"/>
          <w:szCs w:val="24"/>
        </w:rPr>
        <w:t>1.投标人资格声明函；</w:t>
      </w:r>
    </w:p>
    <w:p>
      <w:pPr>
        <w:spacing w:line="360" w:lineRule="auto"/>
        <w:ind w:firstLine="720" w:firstLineChars="300"/>
        <w:rPr>
          <w:sz w:val="24"/>
          <w:szCs w:val="24"/>
        </w:rPr>
      </w:pPr>
      <w:r>
        <w:rPr>
          <w:rFonts w:hint="eastAsia"/>
          <w:sz w:val="24"/>
          <w:szCs w:val="24"/>
        </w:rPr>
        <w:t>2.投标人基本情况表（附企业相关证书）；</w:t>
      </w:r>
    </w:p>
    <w:p>
      <w:pPr>
        <w:spacing w:line="360" w:lineRule="auto"/>
        <w:ind w:firstLine="720" w:firstLineChars="300"/>
        <w:rPr>
          <w:sz w:val="24"/>
          <w:szCs w:val="24"/>
        </w:rPr>
      </w:pPr>
      <w:r>
        <w:rPr>
          <w:rFonts w:hint="eastAsia"/>
          <w:sz w:val="24"/>
          <w:szCs w:val="24"/>
        </w:rPr>
        <w:t>3.投标人未被“信用中国”（</w:t>
      </w:r>
      <w:r>
        <w:fldChar w:fldCharType="begin"/>
      </w:r>
      <w:r>
        <w:instrText xml:space="preserve"> HYPERLINK "http://www.creditchina.gov.cn/" \h </w:instrText>
      </w:r>
      <w:r>
        <w:fldChar w:fldCharType="separate"/>
      </w:r>
      <w:r>
        <w:rPr>
          <w:rFonts w:hint="eastAsia"/>
          <w:sz w:val="24"/>
          <w:szCs w:val="24"/>
        </w:rPr>
        <w:t>www.creditchina.gov.cn</w:t>
      </w:r>
      <w:r>
        <w:rPr>
          <w:rFonts w:hint="eastAsia"/>
          <w:sz w:val="24"/>
          <w:szCs w:val="24"/>
        </w:rPr>
        <w:fldChar w:fldCharType="end"/>
      </w:r>
      <w:r>
        <w:rPr>
          <w:rFonts w:hint="eastAsia"/>
          <w:sz w:val="24"/>
          <w:szCs w:val="24"/>
        </w:rPr>
        <w:t>）列入“失信惩戒对象”记录的信用查询网页截图。</w:t>
      </w:r>
    </w:p>
    <w:p>
      <w:pPr>
        <w:spacing w:line="360" w:lineRule="auto"/>
        <w:rPr>
          <w:sz w:val="24"/>
          <w:szCs w:val="24"/>
        </w:rPr>
      </w:pPr>
    </w:p>
    <w:p>
      <w:pPr>
        <w:spacing w:line="360" w:lineRule="auto"/>
        <w:ind w:firstLine="720" w:firstLineChars="300"/>
        <w:rPr>
          <w:sz w:val="24"/>
          <w:szCs w:val="24"/>
        </w:rPr>
      </w:pPr>
      <w:r>
        <w:rPr>
          <w:rFonts w:hint="eastAsia"/>
          <w:sz w:val="24"/>
          <w:szCs w:val="24"/>
        </w:rPr>
        <w:t>注：不能提供上述任何一项或不符合审查要求的投标人为资格审查不合格。</w:t>
      </w:r>
    </w:p>
    <w:p>
      <w:r>
        <w:br w:type="page"/>
      </w:r>
    </w:p>
    <w:p>
      <w:pPr>
        <w:spacing w:before="37"/>
        <w:ind w:left="637" w:right="277"/>
        <w:jc w:val="center"/>
        <w:outlineLvl w:val="1"/>
        <w:rPr>
          <w:w w:val="95"/>
          <w:sz w:val="32"/>
        </w:rPr>
      </w:pPr>
      <w:bookmarkStart w:id="170" w:name="_Toc546"/>
      <w:r>
        <w:rPr>
          <w:rFonts w:hint="eastAsia"/>
          <w:w w:val="95"/>
          <w:sz w:val="32"/>
        </w:rPr>
        <w:t>投标人资格声明函</w:t>
      </w:r>
      <w:bookmarkEnd w:id="170"/>
    </w:p>
    <w:p>
      <w:pPr>
        <w:pStyle w:val="3"/>
      </w:pPr>
    </w:p>
    <w:p>
      <w:pPr>
        <w:ind w:firstLine="480" w:firstLineChars="200"/>
        <w:rPr>
          <w:sz w:val="24"/>
        </w:rPr>
      </w:pPr>
    </w:p>
    <w:p>
      <w:pPr>
        <w:spacing w:line="480" w:lineRule="auto"/>
        <w:ind w:firstLine="420" w:firstLineChars="200"/>
        <w:rPr>
          <w:szCs w:val="21"/>
          <w:u w:val="single"/>
        </w:rPr>
      </w:pPr>
      <w:r>
        <w:rPr>
          <w:rFonts w:hint="eastAsia"/>
          <w:szCs w:val="21"/>
          <w:u w:val="single"/>
        </w:rPr>
        <w:t>海盐县人民医院：</w:t>
      </w:r>
    </w:p>
    <w:p>
      <w:pPr>
        <w:spacing w:line="480" w:lineRule="auto"/>
        <w:ind w:firstLine="420" w:firstLineChars="200"/>
        <w:rPr>
          <w:szCs w:val="21"/>
        </w:rPr>
      </w:pPr>
      <w:r>
        <w:rPr>
          <w:rFonts w:hint="eastAsia"/>
          <w:szCs w:val="21"/>
          <w:u w:val="single"/>
        </w:rPr>
        <w:t>五洲工程顾问集团有限公司</w:t>
      </w:r>
      <w:r>
        <w:rPr>
          <w:rFonts w:hint="eastAsia"/>
          <w:szCs w:val="21"/>
        </w:rPr>
        <w:t>：</w:t>
      </w:r>
    </w:p>
    <w:p>
      <w:pPr>
        <w:spacing w:line="480" w:lineRule="auto"/>
        <w:ind w:firstLine="420" w:firstLineChars="200"/>
        <w:rPr>
          <w:szCs w:val="21"/>
        </w:rPr>
      </w:pPr>
      <w:r>
        <w:rPr>
          <w:rFonts w:hint="eastAsia"/>
          <w:szCs w:val="21"/>
          <w:u w:val="single"/>
        </w:rPr>
        <w:t>（投标人名称）</w:t>
      </w:r>
      <w:r>
        <w:rPr>
          <w:rFonts w:hint="eastAsia"/>
          <w:szCs w:val="21"/>
        </w:rPr>
        <w:t>系中华人民共和国合法企业，经营地址。</w:t>
      </w:r>
    </w:p>
    <w:p>
      <w:pPr>
        <w:spacing w:line="480" w:lineRule="auto"/>
        <w:ind w:firstLine="420" w:firstLineChars="200"/>
        <w:rPr>
          <w:szCs w:val="21"/>
        </w:rPr>
      </w:pPr>
      <w:r>
        <w:rPr>
          <w:rFonts w:hint="eastAsia"/>
          <w:szCs w:val="21"/>
        </w:rPr>
        <w:t>我</w:t>
      </w:r>
      <w:r>
        <w:rPr>
          <w:rFonts w:hint="eastAsia"/>
          <w:szCs w:val="21"/>
          <w:u w:val="single"/>
        </w:rPr>
        <w:t>（姓名）</w:t>
      </w:r>
      <w:r>
        <w:rPr>
          <w:rFonts w:hint="eastAsia"/>
          <w:szCs w:val="21"/>
        </w:rPr>
        <w:t>系</w:t>
      </w:r>
      <w:r>
        <w:rPr>
          <w:rFonts w:hint="eastAsia"/>
          <w:szCs w:val="21"/>
          <w:u w:val="single"/>
        </w:rPr>
        <w:t>（投标人名称）</w:t>
      </w:r>
      <w:r>
        <w:rPr>
          <w:rFonts w:hint="eastAsia"/>
          <w:szCs w:val="21"/>
        </w:rPr>
        <w:t>的法定代表人，我方愿意参加贵方组织的</w:t>
      </w:r>
      <w:r>
        <w:rPr>
          <w:rFonts w:hint="eastAsia"/>
          <w:szCs w:val="21"/>
          <w:u w:val="single"/>
        </w:rPr>
        <w:t>（招标项目名称）（编号为    ）</w:t>
      </w:r>
      <w:r>
        <w:rPr>
          <w:rFonts w:hint="eastAsia"/>
          <w:szCs w:val="21"/>
        </w:rPr>
        <w:t>的投标，为此，我方就本次投标有关事项郑重声明如下：</w:t>
      </w:r>
    </w:p>
    <w:p>
      <w:pPr>
        <w:spacing w:line="480" w:lineRule="auto"/>
        <w:ind w:firstLine="420" w:firstLineChars="200"/>
        <w:rPr>
          <w:szCs w:val="21"/>
        </w:rPr>
      </w:pPr>
      <w:r>
        <w:rPr>
          <w:rFonts w:hint="eastAsia"/>
          <w:szCs w:val="21"/>
        </w:rPr>
        <w:t>1、我方已详细审查全部招标文件，同意招标文件的各项要求。</w:t>
      </w:r>
    </w:p>
    <w:p>
      <w:pPr>
        <w:spacing w:line="480" w:lineRule="auto"/>
        <w:ind w:firstLine="420" w:firstLineChars="200"/>
        <w:rPr>
          <w:szCs w:val="21"/>
        </w:rPr>
      </w:pPr>
      <w:r>
        <w:rPr>
          <w:rFonts w:hint="eastAsia"/>
          <w:szCs w:val="21"/>
        </w:rPr>
        <w:t>2、我方向贵方提交的所有投标文件、资料都是准确的和真实的。</w:t>
      </w:r>
    </w:p>
    <w:p>
      <w:pPr>
        <w:spacing w:line="480" w:lineRule="auto"/>
        <w:ind w:firstLine="420" w:firstLineChars="200"/>
        <w:rPr>
          <w:szCs w:val="21"/>
        </w:rPr>
      </w:pPr>
      <w:r>
        <w:rPr>
          <w:rFonts w:hint="eastAsia"/>
          <w:szCs w:val="21"/>
        </w:rPr>
        <w:t>3、若中标，我方将按招标文件规定履行合同责任和义务。</w:t>
      </w:r>
    </w:p>
    <w:p>
      <w:pPr>
        <w:spacing w:line="480" w:lineRule="auto"/>
        <w:ind w:firstLine="420" w:firstLineChars="200"/>
        <w:rPr>
          <w:szCs w:val="21"/>
        </w:rPr>
      </w:pPr>
      <w:r>
        <w:rPr>
          <w:rFonts w:hint="eastAsia"/>
          <w:szCs w:val="21"/>
        </w:rPr>
        <w:t>4、我方未被当地有关部门限制、暂停、取消投标资格或不良行为正在公示期限内。</w:t>
      </w:r>
    </w:p>
    <w:p>
      <w:pPr>
        <w:spacing w:line="480" w:lineRule="auto"/>
        <w:ind w:firstLine="420" w:firstLineChars="200"/>
        <w:rPr>
          <w:szCs w:val="21"/>
        </w:rPr>
      </w:pPr>
      <w:r>
        <w:rPr>
          <w:rFonts w:hint="eastAsia"/>
          <w:szCs w:val="21"/>
        </w:rPr>
        <w:t>5、我方参与本项目前五年内（2019年1月1日起）起至投标截止日止无行贿犯罪记录。</w:t>
      </w:r>
    </w:p>
    <w:p>
      <w:pPr>
        <w:spacing w:line="480" w:lineRule="auto"/>
        <w:ind w:firstLine="420" w:firstLineChars="200"/>
        <w:rPr>
          <w:szCs w:val="21"/>
        </w:rPr>
      </w:pPr>
      <w:r>
        <w:rPr>
          <w:rFonts w:hint="eastAsia"/>
          <w:szCs w:val="21"/>
        </w:rPr>
        <w:t>6、我方通过“信用中国”网站（www.creditchina.gov.cn）查询，未被列入“失信惩戒对象”记录名单。</w:t>
      </w:r>
    </w:p>
    <w:p>
      <w:pPr>
        <w:spacing w:line="480" w:lineRule="auto"/>
        <w:ind w:firstLine="420" w:firstLineChars="200"/>
        <w:rPr>
          <w:szCs w:val="21"/>
        </w:rPr>
      </w:pPr>
      <w:r>
        <w:rPr>
          <w:rFonts w:hint="eastAsia"/>
          <w:szCs w:val="21"/>
        </w:rPr>
        <w:t>7、以上事项如有虚假或隐瞒，我方愿意承担一切后果，并不再寻求任何旨在减轻或免除法律责任的辩解。</w:t>
      </w:r>
    </w:p>
    <w:p>
      <w:pPr>
        <w:pStyle w:val="14"/>
        <w:spacing w:line="360" w:lineRule="auto"/>
        <w:rPr>
          <w:sz w:val="21"/>
          <w:szCs w:val="21"/>
        </w:rPr>
      </w:pPr>
    </w:p>
    <w:p>
      <w:pPr>
        <w:spacing w:line="360" w:lineRule="auto"/>
        <w:ind w:left="3780" w:leftChars="1800" w:firstLine="420" w:firstLineChars="200"/>
        <w:rPr>
          <w:szCs w:val="21"/>
        </w:rPr>
      </w:pPr>
    </w:p>
    <w:p>
      <w:pPr>
        <w:spacing w:line="360" w:lineRule="auto"/>
        <w:ind w:left="3780" w:leftChars="1800" w:firstLine="420" w:firstLineChars="200"/>
        <w:rPr>
          <w:szCs w:val="21"/>
        </w:rPr>
      </w:pPr>
    </w:p>
    <w:p>
      <w:pPr>
        <w:spacing w:line="360" w:lineRule="auto"/>
        <w:ind w:left="3780" w:leftChars="1800" w:firstLine="420" w:firstLineChars="200"/>
        <w:rPr>
          <w:szCs w:val="21"/>
        </w:rPr>
      </w:pPr>
      <w:r>
        <w:rPr>
          <w:rFonts w:hint="eastAsia"/>
          <w:szCs w:val="21"/>
        </w:rPr>
        <w:t>投标人（盖单位公章）：</w:t>
      </w:r>
    </w:p>
    <w:p>
      <w:pPr>
        <w:spacing w:line="360" w:lineRule="auto"/>
        <w:ind w:left="3780" w:leftChars="1800" w:firstLine="420" w:firstLineChars="200"/>
        <w:rPr>
          <w:szCs w:val="21"/>
        </w:rPr>
      </w:pPr>
      <w:r>
        <w:rPr>
          <w:rFonts w:hint="eastAsia"/>
          <w:szCs w:val="21"/>
        </w:rPr>
        <w:t xml:space="preserve">法定代表人或授权代表（签名或盖章）：                       </w:t>
      </w:r>
    </w:p>
    <w:p>
      <w:pPr>
        <w:spacing w:line="360" w:lineRule="auto"/>
        <w:ind w:left="3780" w:leftChars="1800" w:firstLine="420" w:firstLineChars="200"/>
        <w:rPr>
          <w:szCs w:val="21"/>
        </w:rPr>
      </w:pPr>
      <w:r>
        <w:rPr>
          <w:rFonts w:hint="eastAsia"/>
          <w:szCs w:val="21"/>
        </w:rPr>
        <w:t>日 期：</w:t>
      </w:r>
    </w:p>
    <w:p>
      <w:r>
        <w:rPr>
          <w:rFonts w:hint="eastAsia"/>
        </w:rPr>
        <w:br w:type="page"/>
      </w:r>
    </w:p>
    <w:p>
      <w:pPr>
        <w:spacing w:before="40"/>
        <w:ind w:right="275"/>
        <w:jc w:val="center"/>
        <w:outlineLvl w:val="1"/>
        <w:rPr>
          <w:sz w:val="32"/>
          <w:szCs w:val="32"/>
        </w:rPr>
      </w:pPr>
      <w:bookmarkStart w:id="171" w:name="_Toc4119"/>
      <w:r>
        <w:rPr>
          <w:rFonts w:hint="eastAsia"/>
          <w:sz w:val="32"/>
          <w:szCs w:val="32"/>
        </w:rPr>
        <w:t>投标人基本情况表</w:t>
      </w:r>
      <w:bookmarkEnd w:id="171"/>
    </w:p>
    <w:p>
      <w:pPr>
        <w:pStyle w:val="12"/>
        <w:spacing w:before="4"/>
        <w:rPr>
          <w:sz w:val="8"/>
        </w:rPr>
      </w:pPr>
    </w:p>
    <w:tbl>
      <w:tblPr>
        <w:tblStyle w:val="61"/>
        <w:tblW w:w="0" w:type="auto"/>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7"/>
        <w:gridCol w:w="1209"/>
        <w:gridCol w:w="2227"/>
        <w:gridCol w:w="928"/>
        <w:gridCol w:w="2042"/>
        <w:gridCol w:w="14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777" w:type="dxa"/>
          </w:tcPr>
          <w:p>
            <w:pPr>
              <w:pStyle w:val="63"/>
              <w:spacing w:before="32" w:line="275" w:lineRule="exact"/>
              <w:ind w:left="97" w:right="88"/>
              <w:jc w:val="center"/>
              <w:rPr>
                <w:szCs w:val="20"/>
              </w:rPr>
            </w:pPr>
            <w:r>
              <w:rPr>
                <w:rFonts w:hint="eastAsia"/>
                <w:szCs w:val="20"/>
              </w:rPr>
              <w:t>投标人名称</w:t>
            </w:r>
          </w:p>
        </w:tc>
        <w:tc>
          <w:tcPr>
            <w:tcW w:w="7891" w:type="dxa"/>
            <w:gridSpan w:val="5"/>
          </w:tcPr>
          <w:p>
            <w:pPr>
              <w:pStyle w:val="63"/>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9" w:hRule="atLeast"/>
        </w:trPr>
        <w:tc>
          <w:tcPr>
            <w:tcW w:w="1777" w:type="dxa"/>
          </w:tcPr>
          <w:p>
            <w:pPr>
              <w:pStyle w:val="63"/>
              <w:spacing w:line="360" w:lineRule="exact"/>
              <w:rPr>
                <w:szCs w:val="20"/>
              </w:rPr>
            </w:pPr>
          </w:p>
          <w:p>
            <w:pPr>
              <w:pStyle w:val="63"/>
              <w:spacing w:before="8" w:line="360" w:lineRule="exact"/>
              <w:rPr>
                <w:sz w:val="15"/>
                <w:szCs w:val="20"/>
              </w:rPr>
            </w:pPr>
          </w:p>
          <w:p>
            <w:pPr>
              <w:pStyle w:val="63"/>
              <w:spacing w:line="360" w:lineRule="exact"/>
              <w:ind w:left="97" w:right="88"/>
              <w:jc w:val="center"/>
              <w:rPr>
                <w:szCs w:val="20"/>
              </w:rPr>
            </w:pPr>
            <w:r>
              <w:rPr>
                <w:rFonts w:hint="eastAsia"/>
                <w:szCs w:val="20"/>
              </w:rPr>
              <w:t>企业资质</w:t>
            </w:r>
          </w:p>
        </w:tc>
        <w:tc>
          <w:tcPr>
            <w:tcW w:w="7891" w:type="dxa"/>
            <w:gridSpan w:val="5"/>
          </w:tcPr>
          <w:p>
            <w:pPr>
              <w:pStyle w:val="63"/>
              <w:spacing w:before="16" w:line="360" w:lineRule="exact"/>
              <w:ind w:left="14"/>
              <w:rPr>
                <w:szCs w:val="20"/>
              </w:rPr>
            </w:pPr>
            <w:r>
              <w:rPr>
                <w:rFonts w:hint="eastAsia"/>
                <w:szCs w:val="20"/>
              </w:rPr>
              <w:t>1</w:t>
            </w:r>
            <w:r>
              <w:rPr>
                <w:rFonts w:hint="eastAsia"/>
                <w:position w:val="1"/>
                <w:szCs w:val="20"/>
              </w:rPr>
              <w:t>、等级：</w:t>
            </w:r>
          </w:p>
          <w:p>
            <w:pPr>
              <w:pStyle w:val="63"/>
              <w:spacing w:before="28" w:line="360" w:lineRule="exact"/>
              <w:ind w:left="14"/>
              <w:rPr>
                <w:szCs w:val="20"/>
              </w:rPr>
            </w:pPr>
            <w:r>
              <w:rPr>
                <w:rFonts w:hint="eastAsia"/>
                <w:szCs w:val="20"/>
              </w:rPr>
              <w:t>2</w:t>
            </w:r>
            <w:r>
              <w:rPr>
                <w:rFonts w:hint="eastAsia"/>
                <w:position w:val="1"/>
                <w:szCs w:val="20"/>
              </w:rPr>
              <w:t>、证书号：</w:t>
            </w:r>
          </w:p>
          <w:p>
            <w:pPr>
              <w:pStyle w:val="63"/>
              <w:spacing w:before="28" w:line="360" w:lineRule="exact"/>
              <w:ind w:left="14"/>
              <w:rPr>
                <w:szCs w:val="20"/>
              </w:rPr>
            </w:pPr>
            <w:r>
              <w:rPr>
                <w:rFonts w:hint="eastAsia"/>
                <w:spacing w:val="-1"/>
                <w:szCs w:val="20"/>
              </w:rPr>
              <w:t>3</w:t>
            </w:r>
            <w:r>
              <w:rPr>
                <w:rFonts w:hint="eastAsia"/>
                <w:spacing w:val="-1"/>
                <w:position w:val="1"/>
                <w:szCs w:val="20"/>
              </w:rPr>
              <w:t>、发证机关：</w:t>
            </w:r>
          </w:p>
          <w:p>
            <w:pPr>
              <w:pStyle w:val="63"/>
              <w:spacing w:before="27" w:line="360" w:lineRule="exact"/>
              <w:ind w:left="14"/>
              <w:rPr>
                <w:szCs w:val="20"/>
              </w:rPr>
            </w:pPr>
            <w:r>
              <w:rPr>
                <w:rFonts w:hint="eastAsia"/>
                <w:spacing w:val="-1"/>
                <w:szCs w:val="20"/>
              </w:rPr>
              <w:t>4</w:t>
            </w:r>
            <w:r>
              <w:rPr>
                <w:rFonts w:hint="eastAsia"/>
                <w:spacing w:val="-1"/>
                <w:position w:val="1"/>
                <w:szCs w:val="20"/>
              </w:rPr>
              <w:t>、业务范围：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1777" w:type="dxa"/>
          </w:tcPr>
          <w:p>
            <w:pPr>
              <w:pStyle w:val="63"/>
              <w:spacing w:before="5" w:line="360" w:lineRule="exact"/>
              <w:rPr>
                <w:sz w:val="25"/>
                <w:szCs w:val="20"/>
              </w:rPr>
            </w:pPr>
          </w:p>
          <w:p>
            <w:pPr>
              <w:pStyle w:val="63"/>
              <w:spacing w:before="1" w:line="360" w:lineRule="exact"/>
              <w:ind w:left="97" w:right="88"/>
              <w:jc w:val="center"/>
              <w:rPr>
                <w:szCs w:val="20"/>
              </w:rPr>
            </w:pPr>
            <w:r>
              <w:rPr>
                <w:rFonts w:hint="eastAsia"/>
                <w:szCs w:val="20"/>
              </w:rPr>
              <w:t>营业执照</w:t>
            </w:r>
          </w:p>
        </w:tc>
        <w:tc>
          <w:tcPr>
            <w:tcW w:w="7891" w:type="dxa"/>
            <w:gridSpan w:val="5"/>
          </w:tcPr>
          <w:p>
            <w:pPr>
              <w:pStyle w:val="63"/>
              <w:spacing w:before="16" w:line="360" w:lineRule="exact"/>
              <w:ind w:left="14"/>
              <w:rPr>
                <w:szCs w:val="20"/>
              </w:rPr>
            </w:pPr>
            <w:r>
              <w:rPr>
                <w:rFonts w:hint="eastAsia"/>
                <w:szCs w:val="20"/>
              </w:rPr>
              <w:t>1</w:t>
            </w:r>
            <w:r>
              <w:rPr>
                <w:rFonts w:hint="eastAsia"/>
                <w:position w:val="1"/>
                <w:szCs w:val="20"/>
              </w:rPr>
              <w:t>、编号：</w:t>
            </w:r>
          </w:p>
          <w:p>
            <w:pPr>
              <w:pStyle w:val="63"/>
              <w:spacing w:before="28" w:line="360" w:lineRule="exact"/>
              <w:ind w:left="14"/>
              <w:rPr>
                <w:szCs w:val="20"/>
              </w:rPr>
            </w:pPr>
            <w:r>
              <w:rPr>
                <w:rFonts w:hint="eastAsia"/>
                <w:spacing w:val="-1"/>
                <w:szCs w:val="20"/>
              </w:rPr>
              <w:t>2</w:t>
            </w:r>
            <w:r>
              <w:rPr>
                <w:rFonts w:hint="eastAsia"/>
                <w:spacing w:val="-1"/>
                <w:position w:val="1"/>
                <w:szCs w:val="20"/>
              </w:rPr>
              <w:t>、发照机关：</w:t>
            </w:r>
          </w:p>
          <w:p>
            <w:pPr>
              <w:pStyle w:val="63"/>
              <w:spacing w:before="27" w:line="360" w:lineRule="exact"/>
              <w:ind w:left="14"/>
              <w:rPr>
                <w:szCs w:val="20"/>
              </w:rPr>
            </w:pPr>
            <w:r>
              <w:rPr>
                <w:rFonts w:hint="eastAsia"/>
                <w:spacing w:val="-1"/>
                <w:szCs w:val="20"/>
              </w:rPr>
              <w:t>3</w:t>
            </w:r>
            <w:r>
              <w:rPr>
                <w:rFonts w:hint="eastAsia"/>
                <w:spacing w:val="-1"/>
                <w:position w:val="1"/>
                <w:szCs w:val="20"/>
              </w:rPr>
              <w:t>、营业范围：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777" w:type="dxa"/>
          </w:tcPr>
          <w:p>
            <w:pPr>
              <w:pStyle w:val="63"/>
              <w:spacing w:before="31" w:line="360" w:lineRule="exact"/>
              <w:ind w:left="97" w:right="88"/>
              <w:jc w:val="center"/>
              <w:rPr>
                <w:szCs w:val="20"/>
              </w:rPr>
            </w:pPr>
            <w:r>
              <w:rPr>
                <w:rFonts w:hint="eastAsia"/>
                <w:szCs w:val="20"/>
              </w:rPr>
              <w:t>成立日期</w:t>
            </w:r>
          </w:p>
        </w:tc>
        <w:tc>
          <w:tcPr>
            <w:tcW w:w="1209" w:type="dxa"/>
          </w:tcPr>
          <w:p>
            <w:pPr>
              <w:pStyle w:val="63"/>
              <w:spacing w:line="360" w:lineRule="exact"/>
              <w:rPr>
                <w:szCs w:val="20"/>
              </w:rPr>
            </w:pPr>
          </w:p>
        </w:tc>
        <w:tc>
          <w:tcPr>
            <w:tcW w:w="2227" w:type="dxa"/>
          </w:tcPr>
          <w:p>
            <w:pPr>
              <w:pStyle w:val="63"/>
              <w:spacing w:before="31" w:line="360" w:lineRule="exact"/>
              <w:ind w:left="15"/>
              <w:rPr>
                <w:szCs w:val="20"/>
              </w:rPr>
            </w:pPr>
            <w:r>
              <w:rPr>
                <w:rFonts w:hint="eastAsia"/>
                <w:spacing w:val="-1"/>
                <w:szCs w:val="20"/>
              </w:rPr>
              <w:t>现有职工总人数</w:t>
            </w:r>
            <w:r>
              <w:rPr>
                <w:rFonts w:hint="eastAsia"/>
                <w:szCs w:val="20"/>
              </w:rPr>
              <w:t>（人）</w:t>
            </w:r>
          </w:p>
        </w:tc>
        <w:tc>
          <w:tcPr>
            <w:tcW w:w="928" w:type="dxa"/>
          </w:tcPr>
          <w:p>
            <w:pPr>
              <w:pStyle w:val="63"/>
              <w:spacing w:line="360" w:lineRule="exact"/>
              <w:rPr>
                <w:szCs w:val="20"/>
              </w:rPr>
            </w:pPr>
          </w:p>
        </w:tc>
        <w:tc>
          <w:tcPr>
            <w:tcW w:w="2042" w:type="dxa"/>
          </w:tcPr>
          <w:p>
            <w:pPr>
              <w:pStyle w:val="63"/>
              <w:spacing w:before="31" w:line="360" w:lineRule="exact"/>
              <w:ind w:left="14"/>
              <w:rPr>
                <w:szCs w:val="20"/>
              </w:rPr>
            </w:pPr>
            <w:r>
              <w:rPr>
                <w:rFonts w:hint="eastAsia"/>
                <w:szCs w:val="20"/>
              </w:rPr>
              <w:t>技术人员人数（人）</w:t>
            </w:r>
          </w:p>
        </w:tc>
        <w:tc>
          <w:tcPr>
            <w:tcW w:w="1485" w:type="dxa"/>
          </w:tcPr>
          <w:p>
            <w:pPr>
              <w:pStyle w:val="63"/>
              <w:spacing w:line="360" w:lineRule="exact"/>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1" w:hRule="atLeast"/>
        </w:trPr>
        <w:tc>
          <w:tcPr>
            <w:tcW w:w="1777" w:type="dxa"/>
          </w:tcPr>
          <w:p>
            <w:pPr>
              <w:pStyle w:val="63"/>
              <w:spacing w:line="360" w:lineRule="exact"/>
              <w:rPr>
                <w:szCs w:val="20"/>
              </w:rPr>
            </w:pPr>
          </w:p>
          <w:p>
            <w:pPr>
              <w:pStyle w:val="63"/>
              <w:spacing w:before="9" w:line="360" w:lineRule="exact"/>
              <w:rPr>
                <w:sz w:val="15"/>
                <w:szCs w:val="20"/>
              </w:rPr>
            </w:pPr>
          </w:p>
          <w:p>
            <w:pPr>
              <w:pStyle w:val="63"/>
              <w:spacing w:line="360" w:lineRule="exact"/>
              <w:ind w:left="97" w:right="88"/>
              <w:jc w:val="center"/>
              <w:rPr>
                <w:szCs w:val="20"/>
              </w:rPr>
            </w:pPr>
            <w:r>
              <w:rPr>
                <w:rFonts w:hint="eastAsia"/>
                <w:szCs w:val="20"/>
              </w:rPr>
              <w:t>法定代表人</w:t>
            </w:r>
          </w:p>
        </w:tc>
        <w:tc>
          <w:tcPr>
            <w:tcW w:w="7891" w:type="dxa"/>
            <w:gridSpan w:val="5"/>
          </w:tcPr>
          <w:p>
            <w:pPr>
              <w:pStyle w:val="63"/>
              <w:spacing w:before="15" w:line="360" w:lineRule="exact"/>
              <w:ind w:left="14"/>
              <w:rPr>
                <w:szCs w:val="20"/>
              </w:rPr>
            </w:pPr>
            <w:r>
              <w:rPr>
                <w:rFonts w:hint="eastAsia"/>
                <w:spacing w:val="-1"/>
                <w:szCs w:val="20"/>
              </w:rPr>
              <w:t>1</w:t>
            </w:r>
            <w:r>
              <w:rPr>
                <w:rFonts w:hint="eastAsia"/>
                <w:spacing w:val="-1"/>
                <w:position w:val="1"/>
                <w:szCs w:val="20"/>
              </w:rPr>
              <w:t>、姓名：</w:t>
            </w:r>
          </w:p>
          <w:p>
            <w:pPr>
              <w:pStyle w:val="63"/>
              <w:spacing w:before="28" w:line="360" w:lineRule="exact"/>
              <w:ind w:left="14"/>
              <w:rPr>
                <w:szCs w:val="20"/>
              </w:rPr>
            </w:pPr>
            <w:r>
              <w:rPr>
                <w:rFonts w:hint="eastAsia"/>
                <w:spacing w:val="-1"/>
                <w:szCs w:val="20"/>
              </w:rPr>
              <w:t>2</w:t>
            </w:r>
            <w:r>
              <w:rPr>
                <w:rFonts w:hint="eastAsia"/>
                <w:spacing w:val="-1"/>
                <w:position w:val="1"/>
                <w:szCs w:val="20"/>
              </w:rPr>
              <w:t>、职务：</w:t>
            </w:r>
          </w:p>
          <w:p>
            <w:pPr>
              <w:pStyle w:val="63"/>
              <w:spacing w:before="30" w:line="360" w:lineRule="exact"/>
              <w:ind w:left="14"/>
              <w:rPr>
                <w:szCs w:val="20"/>
              </w:rPr>
            </w:pPr>
            <w:r>
              <w:rPr>
                <w:rFonts w:hint="eastAsia"/>
                <w:spacing w:val="-1"/>
                <w:szCs w:val="20"/>
              </w:rPr>
              <w:t>3</w:t>
            </w:r>
            <w:r>
              <w:rPr>
                <w:rFonts w:hint="eastAsia"/>
                <w:spacing w:val="-1"/>
                <w:position w:val="1"/>
                <w:szCs w:val="20"/>
              </w:rPr>
              <w:t>、职称：</w:t>
            </w:r>
          </w:p>
          <w:p>
            <w:pPr>
              <w:pStyle w:val="63"/>
              <w:spacing w:before="28" w:line="360" w:lineRule="exact"/>
              <w:ind w:left="14"/>
              <w:rPr>
                <w:szCs w:val="20"/>
              </w:rPr>
            </w:pPr>
            <w:r>
              <w:rPr>
                <w:rFonts w:hint="eastAsia"/>
                <w:szCs w:val="20"/>
              </w:rPr>
              <w:t>4</w:t>
            </w:r>
            <w:r>
              <w:rPr>
                <w:rFonts w:hint="eastAsia"/>
                <w:position w:val="1"/>
                <w:szCs w:val="20"/>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0" w:hRule="atLeast"/>
        </w:trPr>
        <w:tc>
          <w:tcPr>
            <w:tcW w:w="1777" w:type="dxa"/>
          </w:tcPr>
          <w:p>
            <w:pPr>
              <w:pStyle w:val="63"/>
              <w:spacing w:line="360" w:lineRule="exact"/>
              <w:rPr>
                <w:szCs w:val="20"/>
              </w:rPr>
            </w:pPr>
          </w:p>
          <w:p>
            <w:pPr>
              <w:pStyle w:val="63"/>
              <w:spacing w:before="9" w:line="360" w:lineRule="exact"/>
              <w:rPr>
                <w:sz w:val="15"/>
                <w:szCs w:val="20"/>
              </w:rPr>
            </w:pPr>
          </w:p>
          <w:p>
            <w:pPr>
              <w:pStyle w:val="63"/>
              <w:spacing w:line="360" w:lineRule="exact"/>
              <w:ind w:left="97" w:right="88"/>
              <w:jc w:val="center"/>
              <w:rPr>
                <w:szCs w:val="20"/>
              </w:rPr>
            </w:pPr>
            <w:r>
              <w:rPr>
                <w:rFonts w:hint="eastAsia"/>
                <w:szCs w:val="20"/>
              </w:rPr>
              <w:t>企业负责人</w:t>
            </w:r>
          </w:p>
        </w:tc>
        <w:tc>
          <w:tcPr>
            <w:tcW w:w="7891" w:type="dxa"/>
            <w:gridSpan w:val="5"/>
          </w:tcPr>
          <w:p>
            <w:pPr>
              <w:pStyle w:val="63"/>
              <w:spacing w:before="15" w:line="360" w:lineRule="exact"/>
              <w:ind w:left="14"/>
              <w:rPr>
                <w:szCs w:val="20"/>
              </w:rPr>
            </w:pPr>
            <w:r>
              <w:rPr>
                <w:rFonts w:hint="eastAsia"/>
                <w:spacing w:val="-1"/>
                <w:szCs w:val="20"/>
              </w:rPr>
              <w:t>1</w:t>
            </w:r>
            <w:r>
              <w:rPr>
                <w:rFonts w:hint="eastAsia"/>
                <w:spacing w:val="-1"/>
                <w:position w:val="1"/>
                <w:szCs w:val="20"/>
              </w:rPr>
              <w:t>、姓名：</w:t>
            </w:r>
          </w:p>
          <w:p>
            <w:pPr>
              <w:pStyle w:val="63"/>
              <w:spacing w:before="30" w:line="360" w:lineRule="exact"/>
              <w:ind w:left="14"/>
              <w:rPr>
                <w:szCs w:val="20"/>
              </w:rPr>
            </w:pPr>
            <w:r>
              <w:rPr>
                <w:rFonts w:hint="eastAsia"/>
                <w:spacing w:val="-1"/>
                <w:szCs w:val="20"/>
              </w:rPr>
              <w:t>2</w:t>
            </w:r>
            <w:r>
              <w:rPr>
                <w:rFonts w:hint="eastAsia"/>
                <w:spacing w:val="-1"/>
                <w:position w:val="1"/>
                <w:szCs w:val="20"/>
              </w:rPr>
              <w:t>、职务：</w:t>
            </w:r>
          </w:p>
          <w:p>
            <w:pPr>
              <w:pStyle w:val="63"/>
              <w:spacing w:before="28" w:line="360" w:lineRule="exact"/>
              <w:ind w:left="14"/>
              <w:rPr>
                <w:szCs w:val="20"/>
              </w:rPr>
            </w:pPr>
            <w:r>
              <w:rPr>
                <w:rFonts w:hint="eastAsia"/>
                <w:spacing w:val="-1"/>
                <w:szCs w:val="20"/>
              </w:rPr>
              <w:t>3</w:t>
            </w:r>
            <w:r>
              <w:rPr>
                <w:rFonts w:hint="eastAsia"/>
                <w:spacing w:val="-1"/>
                <w:position w:val="1"/>
                <w:szCs w:val="20"/>
              </w:rPr>
              <w:t>、职称：</w:t>
            </w:r>
          </w:p>
          <w:p>
            <w:pPr>
              <w:pStyle w:val="63"/>
              <w:spacing w:before="27" w:line="360" w:lineRule="exact"/>
              <w:ind w:left="14"/>
              <w:rPr>
                <w:szCs w:val="20"/>
              </w:rPr>
            </w:pPr>
            <w:r>
              <w:rPr>
                <w:rFonts w:hint="eastAsia"/>
                <w:szCs w:val="20"/>
              </w:rPr>
              <w:t>4</w:t>
            </w:r>
            <w:r>
              <w:rPr>
                <w:rFonts w:hint="eastAsia"/>
                <w:position w:val="1"/>
                <w:szCs w:val="20"/>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6" w:hRule="atLeast"/>
        </w:trPr>
        <w:tc>
          <w:tcPr>
            <w:tcW w:w="1777" w:type="dxa"/>
          </w:tcPr>
          <w:p>
            <w:pPr>
              <w:pStyle w:val="63"/>
              <w:spacing w:line="360" w:lineRule="exact"/>
              <w:rPr>
                <w:szCs w:val="20"/>
              </w:rPr>
            </w:pPr>
          </w:p>
          <w:p>
            <w:pPr>
              <w:pStyle w:val="63"/>
              <w:spacing w:before="8" w:line="360" w:lineRule="exact"/>
              <w:rPr>
                <w:sz w:val="15"/>
                <w:szCs w:val="20"/>
              </w:rPr>
            </w:pPr>
          </w:p>
          <w:p>
            <w:pPr>
              <w:pStyle w:val="63"/>
              <w:spacing w:line="360" w:lineRule="exact"/>
              <w:ind w:left="97" w:right="88"/>
              <w:jc w:val="center"/>
              <w:rPr>
                <w:szCs w:val="20"/>
              </w:rPr>
            </w:pPr>
            <w:r>
              <w:rPr>
                <w:rFonts w:hint="eastAsia"/>
                <w:szCs w:val="20"/>
              </w:rPr>
              <w:t>技术负责人</w:t>
            </w:r>
          </w:p>
        </w:tc>
        <w:tc>
          <w:tcPr>
            <w:tcW w:w="7891" w:type="dxa"/>
            <w:gridSpan w:val="5"/>
          </w:tcPr>
          <w:p>
            <w:pPr>
              <w:pStyle w:val="63"/>
              <w:spacing w:before="14" w:line="360" w:lineRule="exact"/>
              <w:ind w:left="14"/>
              <w:rPr>
                <w:szCs w:val="20"/>
              </w:rPr>
            </w:pPr>
            <w:r>
              <w:rPr>
                <w:rFonts w:hint="eastAsia"/>
                <w:spacing w:val="-1"/>
                <w:szCs w:val="20"/>
              </w:rPr>
              <w:t>1</w:t>
            </w:r>
            <w:r>
              <w:rPr>
                <w:rFonts w:hint="eastAsia"/>
                <w:spacing w:val="-1"/>
                <w:position w:val="1"/>
                <w:szCs w:val="20"/>
              </w:rPr>
              <w:t>、姓名：</w:t>
            </w:r>
          </w:p>
          <w:p>
            <w:pPr>
              <w:pStyle w:val="63"/>
              <w:spacing w:before="30" w:line="360" w:lineRule="exact"/>
              <w:ind w:left="14"/>
              <w:rPr>
                <w:szCs w:val="20"/>
              </w:rPr>
            </w:pPr>
            <w:r>
              <w:rPr>
                <w:rFonts w:hint="eastAsia"/>
                <w:spacing w:val="-1"/>
                <w:szCs w:val="20"/>
              </w:rPr>
              <w:t>2</w:t>
            </w:r>
            <w:r>
              <w:rPr>
                <w:rFonts w:hint="eastAsia"/>
                <w:spacing w:val="-1"/>
                <w:position w:val="1"/>
                <w:szCs w:val="20"/>
              </w:rPr>
              <w:t>、职务：</w:t>
            </w:r>
          </w:p>
          <w:p>
            <w:pPr>
              <w:pStyle w:val="63"/>
              <w:spacing w:before="28" w:line="360" w:lineRule="exact"/>
              <w:ind w:left="14"/>
              <w:rPr>
                <w:szCs w:val="20"/>
              </w:rPr>
            </w:pPr>
            <w:r>
              <w:rPr>
                <w:rFonts w:hint="eastAsia"/>
                <w:spacing w:val="-1"/>
                <w:szCs w:val="20"/>
              </w:rPr>
              <w:t>3</w:t>
            </w:r>
            <w:r>
              <w:rPr>
                <w:rFonts w:hint="eastAsia"/>
                <w:spacing w:val="-1"/>
                <w:position w:val="1"/>
                <w:szCs w:val="20"/>
              </w:rPr>
              <w:t>、职称：</w:t>
            </w:r>
          </w:p>
          <w:p>
            <w:pPr>
              <w:pStyle w:val="63"/>
              <w:spacing w:before="27" w:line="360" w:lineRule="exact"/>
              <w:ind w:left="14"/>
              <w:rPr>
                <w:szCs w:val="20"/>
              </w:rPr>
            </w:pPr>
            <w:r>
              <w:rPr>
                <w:rFonts w:hint="eastAsia"/>
                <w:szCs w:val="20"/>
              </w:rPr>
              <w:t>4</w:t>
            </w:r>
            <w:r>
              <w:rPr>
                <w:rFonts w:hint="eastAsia"/>
                <w:position w:val="1"/>
                <w:szCs w:val="20"/>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9" w:hRule="atLeast"/>
        </w:trPr>
        <w:tc>
          <w:tcPr>
            <w:tcW w:w="1777" w:type="dxa"/>
          </w:tcPr>
          <w:p>
            <w:pPr>
              <w:pStyle w:val="63"/>
              <w:spacing w:line="360" w:lineRule="exact"/>
              <w:rPr>
                <w:szCs w:val="20"/>
              </w:rPr>
            </w:pPr>
          </w:p>
          <w:p>
            <w:pPr>
              <w:pStyle w:val="63"/>
              <w:spacing w:line="360" w:lineRule="exact"/>
              <w:rPr>
                <w:szCs w:val="20"/>
              </w:rPr>
            </w:pPr>
          </w:p>
          <w:p>
            <w:pPr>
              <w:pStyle w:val="63"/>
              <w:spacing w:before="10" w:line="360" w:lineRule="exact"/>
              <w:rPr>
                <w:sz w:val="17"/>
                <w:szCs w:val="20"/>
              </w:rPr>
            </w:pPr>
          </w:p>
          <w:p>
            <w:pPr>
              <w:pStyle w:val="63"/>
              <w:spacing w:line="360" w:lineRule="exact"/>
              <w:ind w:left="97" w:right="88"/>
              <w:jc w:val="center"/>
              <w:rPr>
                <w:szCs w:val="20"/>
              </w:rPr>
            </w:pPr>
            <w:r>
              <w:rPr>
                <w:rFonts w:hint="eastAsia"/>
                <w:szCs w:val="20"/>
              </w:rPr>
              <w:t>联系方式</w:t>
            </w:r>
          </w:p>
        </w:tc>
        <w:tc>
          <w:tcPr>
            <w:tcW w:w="7891" w:type="dxa"/>
            <w:gridSpan w:val="5"/>
          </w:tcPr>
          <w:p>
            <w:pPr>
              <w:pStyle w:val="63"/>
              <w:spacing w:before="16" w:line="360" w:lineRule="exact"/>
              <w:ind w:left="14"/>
              <w:rPr>
                <w:szCs w:val="20"/>
              </w:rPr>
            </w:pPr>
            <w:r>
              <w:rPr>
                <w:rFonts w:hint="eastAsia"/>
                <w:spacing w:val="-1"/>
                <w:szCs w:val="20"/>
              </w:rPr>
              <w:t>1</w:t>
            </w:r>
            <w:r>
              <w:rPr>
                <w:rFonts w:hint="eastAsia"/>
                <w:spacing w:val="-1"/>
                <w:position w:val="1"/>
                <w:szCs w:val="20"/>
              </w:rPr>
              <w:t>、地址：</w:t>
            </w:r>
          </w:p>
          <w:p>
            <w:pPr>
              <w:pStyle w:val="63"/>
              <w:spacing w:before="28" w:line="360" w:lineRule="exact"/>
              <w:ind w:left="14"/>
              <w:rPr>
                <w:szCs w:val="20"/>
              </w:rPr>
            </w:pPr>
            <w:r>
              <w:rPr>
                <w:rFonts w:hint="eastAsia"/>
                <w:spacing w:val="-1"/>
                <w:szCs w:val="20"/>
              </w:rPr>
              <w:t>2</w:t>
            </w:r>
            <w:r>
              <w:rPr>
                <w:rFonts w:hint="eastAsia"/>
                <w:spacing w:val="-1"/>
                <w:position w:val="1"/>
                <w:szCs w:val="20"/>
              </w:rPr>
              <w:t>、邮编：</w:t>
            </w:r>
          </w:p>
          <w:p>
            <w:pPr>
              <w:pStyle w:val="63"/>
              <w:spacing w:before="27" w:line="360" w:lineRule="exact"/>
              <w:ind w:left="14"/>
              <w:rPr>
                <w:szCs w:val="20"/>
              </w:rPr>
            </w:pPr>
            <w:r>
              <w:rPr>
                <w:rFonts w:hint="eastAsia"/>
                <w:szCs w:val="20"/>
              </w:rPr>
              <w:t>3</w:t>
            </w:r>
            <w:r>
              <w:rPr>
                <w:rFonts w:hint="eastAsia"/>
                <w:position w:val="1"/>
                <w:szCs w:val="20"/>
              </w:rPr>
              <w:t>、联系人：</w:t>
            </w:r>
          </w:p>
          <w:p>
            <w:pPr>
              <w:pStyle w:val="63"/>
              <w:spacing w:before="28" w:line="360" w:lineRule="exact"/>
              <w:ind w:left="14"/>
              <w:rPr>
                <w:szCs w:val="20"/>
              </w:rPr>
            </w:pPr>
            <w:r>
              <w:rPr>
                <w:rFonts w:hint="eastAsia"/>
                <w:szCs w:val="20"/>
              </w:rPr>
              <w:t>4</w:t>
            </w:r>
            <w:r>
              <w:rPr>
                <w:rFonts w:hint="eastAsia"/>
                <w:position w:val="1"/>
                <w:szCs w:val="20"/>
              </w:rPr>
              <w:t>、电话：</w:t>
            </w:r>
          </w:p>
          <w:p>
            <w:pPr>
              <w:pStyle w:val="63"/>
              <w:spacing w:line="360" w:lineRule="exact"/>
              <w:ind w:left="14" w:right="6699"/>
              <w:rPr>
                <w:szCs w:val="20"/>
              </w:rPr>
            </w:pPr>
            <w:r>
              <w:rPr>
                <w:rFonts w:hint="eastAsia"/>
                <w:szCs w:val="20"/>
              </w:rPr>
              <w:t>5</w:t>
            </w:r>
            <w:r>
              <w:rPr>
                <w:rFonts w:hint="eastAsia"/>
                <w:position w:val="1"/>
                <w:szCs w:val="20"/>
              </w:rPr>
              <w:t>、传真：</w:t>
            </w:r>
            <w:r>
              <w:rPr>
                <w:rFonts w:hint="eastAsia"/>
                <w:spacing w:val="1"/>
                <w:position w:val="1"/>
                <w:szCs w:val="20"/>
              </w:rPr>
              <w:t xml:space="preserve"> </w:t>
            </w:r>
            <w:r>
              <w:rPr>
                <w:rFonts w:hint="eastAsia"/>
                <w:spacing w:val="-1"/>
                <w:szCs w:val="20"/>
              </w:rPr>
              <w:t>6</w:t>
            </w:r>
            <w:r>
              <w:rPr>
                <w:rFonts w:hint="eastAsia"/>
                <w:spacing w:val="-1"/>
                <w:position w:val="1"/>
                <w:szCs w:val="20"/>
              </w:rPr>
              <w:t>、</w:t>
            </w:r>
            <w:r>
              <w:rPr>
                <w:rFonts w:hint="eastAsia"/>
                <w:spacing w:val="-1"/>
                <w:szCs w:val="20"/>
              </w:rPr>
              <w:t>Email</w:t>
            </w:r>
            <w:r>
              <w:rPr>
                <w:rFonts w:hint="eastAsia"/>
                <w:spacing w:val="-1"/>
                <w:position w:val="1"/>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1777" w:type="dxa"/>
          </w:tcPr>
          <w:p>
            <w:pPr>
              <w:pStyle w:val="63"/>
              <w:spacing w:before="170" w:line="360" w:lineRule="exact"/>
              <w:ind w:left="97" w:right="88"/>
              <w:jc w:val="center"/>
              <w:rPr>
                <w:szCs w:val="20"/>
              </w:rPr>
            </w:pPr>
            <w:r>
              <w:rPr>
                <w:rFonts w:hint="eastAsia"/>
                <w:szCs w:val="20"/>
              </w:rPr>
              <w:t>开户银行</w:t>
            </w:r>
          </w:p>
        </w:tc>
        <w:tc>
          <w:tcPr>
            <w:tcW w:w="7891" w:type="dxa"/>
            <w:gridSpan w:val="5"/>
          </w:tcPr>
          <w:p>
            <w:pPr>
              <w:pStyle w:val="63"/>
              <w:spacing w:before="14" w:line="360" w:lineRule="exact"/>
              <w:ind w:left="14"/>
              <w:rPr>
                <w:szCs w:val="20"/>
              </w:rPr>
            </w:pPr>
            <w:r>
              <w:rPr>
                <w:rFonts w:hint="eastAsia"/>
                <w:spacing w:val="-1"/>
                <w:szCs w:val="20"/>
              </w:rPr>
              <w:t>1</w:t>
            </w:r>
            <w:r>
              <w:rPr>
                <w:rFonts w:hint="eastAsia"/>
                <w:spacing w:val="-1"/>
                <w:position w:val="1"/>
                <w:szCs w:val="20"/>
              </w:rPr>
              <w:t>、名称：</w:t>
            </w:r>
          </w:p>
          <w:p>
            <w:pPr>
              <w:pStyle w:val="63"/>
              <w:spacing w:before="30" w:line="360" w:lineRule="exact"/>
              <w:ind w:left="14"/>
              <w:rPr>
                <w:szCs w:val="20"/>
              </w:rPr>
            </w:pPr>
            <w:r>
              <w:rPr>
                <w:rFonts w:hint="eastAsia"/>
                <w:spacing w:val="-1"/>
                <w:szCs w:val="20"/>
              </w:rPr>
              <w:t>2</w:t>
            </w:r>
            <w:r>
              <w:rPr>
                <w:rFonts w:hint="eastAsia"/>
                <w:spacing w:val="-1"/>
                <w:position w:val="1"/>
                <w:szCs w:val="20"/>
              </w:rPr>
              <w:t>、帐号：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777" w:type="dxa"/>
            <w:vAlign w:val="center"/>
          </w:tcPr>
          <w:p>
            <w:pPr>
              <w:pStyle w:val="63"/>
              <w:spacing w:before="30" w:line="360" w:lineRule="exact"/>
              <w:ind w:left="97" w:right="90"/>
              <w:jc w:val="center"/>
              <w:rPr>
                <w:szCs w:val="20"/>
              </w:rPr>
            </w:pPr>
            <w:r>
              <w:rPr>
                <w:rFonts w:hint="eastAsia"/>
                <w:szCs w:val="20"/>
              </w:rPr>
              <w:t>投标人资历简介</w:t>
            </w:r>
          </w:p>
        </w:tc>
        <w:tc>
          <w:tcPr>
            <w:tcW w:w="7891" w:type="dxa"/>
            <w:gridSpan w:val="5"/>
          </w:tcPr>
          <w:p>
            <w:pPr>
              <w:pStyle w:val="63"/>
              <w:spacing w:line="360" w:lineRule="exact"/>
              <w:rPr>
                <w:szCs w:val="20"/>
              </w:rPr>
            </w:pPr>
          </w:p>
        </w:tc>
      </w:tr>
    </w:tbl>
    <w:p>
      <w:pPr>
        <w:pStyle w:val="12"/>
        <w:spacing w:before="6" w:line="223" w:lineRule="auto"/>
        <w:ind w:left="252" w:right="535"/>
        <w:rPr>
          <w:b/>
          <w:bCs/>
          <w:w w:val="95"/>
        </w:rPr>
      </w:pPr>
      <w:r>
        <w:rPr>
          <w:rFonts w:hint="eastAsia"/>
          <w:b/>
          <w:bCs/>
          <w:w w:val="95"/>
        </w:rPr>
        <w:t>说明：（1）</w:t>
      </w:r>
      <w:r>
        <w:rPr>
          <w:rFonts w:hint="eastAsia"/>
          <w:b/>
          <w:bCs/>
          <w:w w:val="95"/>
          <w:highlight w:val="cyan"/>
        </w:rPr>
        <w:t>后附企业相关</w:t>
      </w:r>
      <w:r>
        <w:rPr>
          <w:rFonts w:hint="eastAsia"/>
          <w:b/>
          <w:bCs/>
          <w:w w:val="95"/>
          <w:highlight w:val="cyan"/>
          <w:lang w:val="en-US" w:eastAsia="zh-CN"/>
        </w:rPr>
        <w:t>证照</w:t>
      </w:r>
      <w:r>
        <w:rPr>
          <w:rFonts w:hint="eastAsia"/>
          <w:b/>
          <w:bCs/>
          <w:w w:val="95"/>
          <w:highlight w:val="cyan"/>
        </w:rPr>
        <w:t>材料</w:t>
      </w:r>
      <w:r>
        <w:rPr>
          <w:rFonts w:hint="eastAsia"/>
          <w:b/>
          <w:bCs/>
          <w:w w:val="95"/>
        </w:rPr>
        <w:t>；</w:t>
      </w:r>
    </w:p>
    <w:p>
      <w:pPr>
        <w:pStyle w:val="12"/>
        <w:spacing w:before="6" w:line="223" w:lineRule="auto"/>
        <w:ind w:left="252" w:right="535"/>
        <w:rPr>
          <w:b/>
          <w:bCs/>
        </w:rPr>
      </w:pPr>
      <w:r>
        <w:rPr>
          <w:rFonts w:hint="eastAsia"/>
          <w:b/>
          <w:bCs/>
          <w:w w:val="95"/>
        </w:rPr>
        <w:t>（2）投标人资历简介是指投标人的成立、改名、改制等演变和法定代表人变更、人员增减以及单位资质</w:t>
      </w:r>
      <w:r>
        <w:rPr>
          <w:rFonts w:hint="eastAsia"/>
          <w:b/>
          <w:bCs/>
        </w:rPr>
        <w:t>变化等情况，该内容可填入表内，也可单独撰写附于表后。</w:t>
      </w:r>
    </w:p>
    <w:p>
      <w:pPr>
        <w:sectPr>
          <w:footerReference r:id="rId9" w:type="default"/>
          <w:pgSz w:w="11910" w:h="16840"/>
          <w:pgMar w:top="1400" w:right="601" w:bottom="278" w:left="879" w:header="0" w:footer="993" w:gutter="0"/>
          <w:pgNumType w:fmt="decimal"/>
          <w:cols w:space="720" w:num="1"/>
        </w:sectPr>
      </w:pPr>
    </w:p>
    <w:p>
      <w:pPr>
        <w:pStyle w:val="3"/>
        <w:jc w:val="center"/>
        <w:rPr>
          <w:rFonts w:ascii="宋体" w:hAnsi="宋体" w:eastAsia="宋体" w:cs="宋体"/>
          <w:sz w:val="36"/>
          <w:szCs w:val="36"/>
        </w:rPr>
      </w:pPr>
      <w:bookmarkStart w:id="172" w:name="_Toc27035"/>
      <w:r>
        <w:rPr>
          <w:rFonts w:hint="eastAsia" w:ascii="宋体" w:hAnsi="宋体" w:eastAsia="宋体" w:cs="宋体"/>
          <w:sz w:val="36"/>
          <w:szCs w:val="36"/>
        </w:rPr>
        <w:t>二、资信、技术评分资料</w:t>
      </w:r>
      <w:bookmarkEnd w:id="172"/>
    </w:p>
    <w:p>
      <w:pPr>
        <w:pStyle w:val="3"/>
        <w:ind w:left="0"/>
      </w:pPr>
    </w:p>
    <w:p/>
    <w:p>
      <w:pPr>
        <w:pStyle w:val="11"/>
        <w:spacing w:line="360" w:lineRule="auto"/>
        <w:ind w:left="420" w:firstLine="480" w:firstLineChars="200"/>
        <w:rPr>
          <w:rFonts w:ascii="宋体" w:eastAsia="宋体"/>
          <w:color w:val="auto"/>
          <w:szCs w:val="24"/>
          <w:highlight w:val="none"/>
        </w:rPr>
      </w:pPr>
      <w:r>
        <w:rPr>
          <w:rFonts w:hint="eastAsia" w:ascii="宋体" w:eastAsia="宋体"/>
          <w:color w:val="auto"/>
          <w:szCs w:val="24"/>
          <w:highlight w:val="none"/>
          <w:lang w:val="en-US" w:eastAsia="zh-CN"/>
        </w:rPr>
        <w:t>1</w:t>
      </w:r>
      <w:r>
        <w:rPr>
          <w:rFonts w:hint="eastAsia" w:ascii="宋体" w:eastAsia="宋体"/>
          <w:color w:val="auto"/>
          <w:szCs w:val="24"/>
          <w:highlight w:val="none"/>
        </w:rPr>
        <w:t>、</w:t>
      </w:r>
      <w:bookmarkStart w:id="173" w:name="_Toc16082"/>
      <w:bookmarkStart w:id="174" w:name="_Toc13033"/>
      <w:r>
        <w:rPr>
          <w:rFonts w:hint="eastAsia" w:ascii="宋体" w:eastAsia="宋体"/>
          <w:color w:val="auto"/>
          <w:szCs w:val="24"/>
          <w:highlight w:val="none"/>
        </w:rPr>
        <w:t>资信评审业绩</w:t>
      </w:r>
      <w:bookmarkEnd w:id="173"/>
      <w:r>
        <w:rPr>
          <w:rFonts w:hint="eastAsia" w:ascii="宋体" w:eastAsia="宋体"/>
          <w:color w:val="auto"/>
          <w:szCs w:val="24"/>
          <w:highlight w:val="none"/>
        </w:rPr>
        <w:t>（见“投标人近年来完成的类似项目业绩表”）；</w:t>
      </w:r>
    </w:p>
    <w:p>
      <w:pPr>
        <w:pStyle w:val="11"/>
        <w:spacing w:line="360" w:lineRule="auto"/>
        <w:ind w:left="420" w:firstLine="480" w:firstLineChars="200"/>
        <w:rPr>
          <w:rFonts w:ascii="宋体" w:eastAsia="宋体"/>
          <w:color w:val="auto"/>
          <w:szCs w:val="24"/>
          <w:highlight w:val="none"/>
        </w:rPr>
      </w:pPr>
      <w:r>
        <w:rPr>
          <w:rFonts w:hint="eastAsia" w:ascii="宋体" w:eastAsia="宋体"/>
          <w:color w:val="auto"/>
          <w:szCs w:val="24"/>
          <w:highlight w:val="none"/>
          <w:lang w:val="en-US" w:eastAsia="zh-CN"/>
        </w:rPr>
        <w:t>2</w:t>
      </w:r>
      <w:r>
        <w:rPr>
          <w:rFonts w:hint="eastAsia" w:ascii="宋体" w:eastAsia="宋体"/>
          <w:color w:val="auto"/>
          <w:szCs w:val="24"/>
          <w:highlight w:val="none"/>
        </w:rPr>
        <w:t>、</w:t>
      </w:r>
      <w:bookmarkEnd w:id="174"/>
      <w:r>
        <w:rPr>
          <w:rFonts w:hint="eastAsia" w:ascii="宋体" w:eastAsia="宋体"/>
          <w:color w:val="auto"/>
          <w:szCs w:val="24"/>
          <w:highlight w:val="none"/>
        </w:rPr>
        <w:t>拟投入的主要班组人员一览表(附相关人员证书)；</w:t>
      </w:r>
    </w:p>
    <w:p>
      <w:pPr>
        <w:pStyle w:val="11"/>
        <w:spacing w:line="360" w:lineRule="auto"/>
        <w:ind w:left="420" w:firstLine="480" w:firstLineChars="200"/>
        <w:rPr>
          <w:rFonts w:ascii="宋体" w:eastAsia="宋体"/>
          <w:color w:val="auto"/>
          <w:szCs w:val="24"/>
          <w:highlight w:val="none"/>
        </w:rPr>
      </w:pPr>
      <w:bookmarkStart w:id="175" w:name="_Toc22330"/>
      <w:r>
        <w:rPr>
          <w:rFonts w:hint="eastAsia" w:ascii="宋体" w:eastAsia="宋体"/>
          <w:color w:val="auto"/>
          <w:szCs w:val="24"/>
          <w:highlight w:val="none"/>
          <w:lang w:val="en-US" w:eastAsia="zh-CN"/>
        </w:rPr>
        <w:t>3</w:t>
      </w:r>
      <w:r>
        <w:rPr>
          <w:rFonts w:hint="eastAsia" w:ascii="宋体" w:eastAsia="宋体"/>
          <w:color w:val="auto"/>
          <w:szCs w:val="24"/>
          <w:highlight w:val="none"/>
        </w:rPr>
        <w:t>、技术响应表；</w:t>
      </w:r>
    </w:p>
    <w:p>
      <w:pPr>
        <w:pStyle w:val="11"/>
        <w:spacing w:line="360" w:lineRule="auto"/>
        <w:ind w:left="420" w:firstLine="480" w:firstLineChars="200"/>
        <w:rPr>
          <w:rFonts w:ascii="宋体" w:eastAsia="宋体"/>
          <w:color w:val="auto"/>
          <w:szCs w:val="24"/>
          <w:highlight w:val="none"/>
        </w:rPr>
      </w:pPr>
      <w:r>
        <w:rPr>
          <w:rFonts w:hint="eastAsia" w:ascii="宋体" w:eastAsia="宋体"/>
          <w:color w:val="auto"/>
          <w:szCs w:val="24"/>
          <w:highlight w:val="none"/>
          <w:lang w:val="en-US" w:eastAsia="zh-CN"/>
        </w:rPr>
        <w:t>4</w:t>
      </w:r>
      <w:r>
        <w:rPr>
          <w:rFonts w:hint="eastAsia" w:ascii="宋体" w:eastAsia="宋体"/>
          <w:color w:val="auto"/>
          <w:szCs w:val="24"/>
          <w:highlight w:val="none"/>
        </w:rPr>
        <w:t>、</w:t>
      </w:r>
      <w:bookmarkEnd w:id="175"/>
      <w:r>
        <w:rPr>
          <w:rFonts w:hint="eastAsia" w:ascii="宋体" w:eastAsia="宋体"/>
          <w:color w:val="auto"/>
          <w:szCs w:val="24"/>
          <w:highlight w:val="none"/>
        </w:rPr>
        <w:t>投标产品主要技术规格、品牌、材质、工艺以及优劣说明（附相关材料的检测报告）；</w:t>
      </w:r>
    </w:p>
    <w:p>
      <w:pPr>
        <w:pStyle w:val="11"/>
        <w:spacing w:line="360" w:lineRule="auto"/>
        <w:ind w:left="420" w:firstLine="480" w:firstLineChars="200"/>
        <w:rPr>
          <w:rFonts w:ascii="宋体" w:eastAsia="宋体"/>
          <w:color w:val="auto"/>
          <w:szCs w:val="24"/>
          <w:highlight w:val="none"/>
        </w:rPr>
      </w:pPr>
      <w:bookmarkStart w:id="176" w:name="_Toc3019"/>
      <w:bookmarkStart w:id="177" w:name="_Toc25401"/>
      <w:r>
        <w:rPr>
          <w:rFonts w:hint="eastAsia" w:ascii="宋体" w:eastAsia="宋体"/>
          <w:color w:val="auto"/>
          <w:szCs w:val="24"/>
          <w:highlight w:val="none"/>
          <w:lang w:val="en-US" w:eastAsia="zh-CN"/>
        </w:rPr>
        <w:t>5</w:t>
      </w:r>
      <w:r>
        <w:rPr>
          <w:rFonts w:hint="eastAsia" w:ascii="宋体" w:eastAsia="宋体"/>
          <w:color w:val="auto"/>
          <w:szCs w:val="24"/>
          <w:highlight w:val="none"/>
        </w:rPr>
        <w:t>、</w:t>
      </w:r>
      <w:bookmarkEnd w:id="176"/>
      <w:r>
        <w:rPr>
          <w:rFonts w:hint="eastAsia" w:ascii="宋体" w:eastAsia="宋体"/>
          <w:color w:val="auto"/>
          <w:szCs w:val="24"/>
          <w:highlight w:val="none"/>
        </w:rPr>
        <w:t>项目实施方案及技术措施；</w:t>
      </w:r>
    </w:p>
    <w:bookmarkEnd w:id="177"/>
    <w:p>
      <w:pPr>
        <w:pStyle w:val="11"/>
        <w:spacing w:line="360" w:lineRule="auto"/>
        <w:ind w:left="420" w:firstLine="480" w:firstLineChars="200"/>
        <w:rPr>
          <w:rFonts w:ascii="宋体" w:eastAsia="宋体"/>
          <w:color w:val="auto"/>
          <w:szCs w:val="24"/>
          <w:highlight w:val="none"/>
        </w:rPr>
      </w:pPr>
      <w:bookmarkStart w:id="178" w:name="_Toc21020"/>
      <w:r>
        <w:rPr>
          <w:rFonts w:hint="eastAsia" w:ascii="宋体" w:eastAsia="宋体"/>
          <w:color w:val="auto"/>
          <w:szCs w:val="24"/>
          <w:highlight w:val="none"/>
          <w:lang w:val="en-US" w:eastAsia="zh-CN"/>
        </w:rPr>
        <w:t>6</w:t>
      </w:r>
      <w:r>
        <w:rPr>
          <w:rFonts w:hint="eastAsia" w:ascii="宋体" w:eastAsia="宋体"/>
          <w:color w:val="auto"/>
          <w:szCs w:val="24"/>
          <w:highlight w:val="none"/>
        </w:rPr>
        <w:t>、质量保修期及售后服务的保证措施；</w:t>
      </w:r>
    </w:p>
    <w:p>
      <w:pPr>
        <w:pStyle w:val="11"/>
        <w:spacing w:line="360" w:lineRule="auto"/>
        <w:ind w:left="420" w:firstLine="480" w:firstLineChars="200"/>
        <w:rPr>
          <w:rFonts w:ascii="宋体" w:eastAsia="宋体"/>
          <w:color w:val="auto"/>
          <w:szCs w:val="24"/>
          <w:highlight w:val="none"/>
        </w:rPr>
      </w:pPr>
      <w:r>
        <w:rPr>
          <w:rFonts w:hint="eastAsia" w:ascii="宋体" w:eastAsia="宋体"/>
          <w:color w:val="auto"/>
          <w:szCs w:val="24"/>
          <w:highlight w:val="none"/>
          <w:lang w:val="en-US" w:eastAsia="zh-CN"/>
        </w:rPr>
        <w:t>7</w:t>
      </w:r>
      <w:r>
        <w:rPr>
          <w:rFonts w:hint="eastAsia" w:ascii="宋体" w:eastAsia="宋体"/>
          <w:color w:val="auto"/>
          <w:szCs w:val="24"/>
          <w:highlight w:val="none"/>
        </w:rPr>
        <w:t>、投标人提供的材料、辅助材料、专用工具、备品备件及易耗件一览表</w:t>
      </w:r>
    </w:p>
    <w:bookmarkEnd w:id="178"/>
    <w:p>
      <w:pPr>
        <w:pStyle w:val="11"/>
        <w:spacing w:line="360" w:lineRule="auto"/>
        <w:ind w:left="420" w:firstLine="480" w:firstLineChars="200"/>
        <w:rPr>
          <w:rFonts w:ascii="宋体" w:eastAsia="宋体"/>
          <w:color w:val="auto"/>
          <w:szCs w:val="24"/>
          <w:highlight w:val="none"/>
        </w:rPr>
      </w:pPr>
      <w:bookmarkStart w:id="179" w:name="_Toc3588"/>
      <w:r>
        <w:rPr>
          <w:rFonts w:hint="eastAsia" w:ascii="宋体" w:eastAsia="宋体"/>
          <w:color w:val="auto"/>
          <w:szCs w:val="24"/>
          <w:highlight w:val="none"/>
          <w:lang w:val="en-US" w:eastAsia="zh-CN"/>
        </w:rPr>
        <w:t>8</w:t>
      </w:r>
      <w:r>
        <w:rPr>
          <w:rFonts w:hint="eastAsia" w:ascii="宋体" w:eastAsia="宋体"/>
          <w:color w:val="auto"/>
          <w:szCs w:val="24"/>
          <w:highlight w:val="none"/>
        </w:rPr>
        <w:t>、</w:t>
      </w:r>
      <w:bookmarkEnd w:id="179"/>
      <w:r>
        <w:rPr>
          <w:rFonts w:hint="eastAsia" w:ascii="宋体" w:eastAsia="宋体"/>
          <w:color w:val="auto"/>
          <w:szCs w:val="24"/>
          <w:highlight w:val="none"/>
        </w:rPr>
        <w:t>招标文件要求或投标人认为需要的其他资料。</w:t>
      </w:r>
    </w:p>
    <w:p>
      <w:pPr>
        <w:pStyle w:val="11"/>
        <w:spacing w:line="360" w:lineRule="auto"/>
        <w:ind w:firstLine="900" w:firstLineChars="375"/>
        <w:rPr>
          <w:rFonts w:ascii="宋体" w:eastAsia="宋体"/>
          <w:color w:val="auto"/>
          <w:szCs w:val="24"/>
        </w:rPr>
      </w:pPr>
    </w:p>
    <w:p>
      <w:pPr>
        <w:pStyle w:val="4"/>
      </w:pPr>
    </w:p>
    <w:p/>
    <w:p>
      <w:pPr>
        <w:pStyle w:val="3"/>
      </w:pPr>
    </w:p>
    <w:p>
      <w:pPr>
        <w:pStyle w:val="4"/>
      </w:pPr>
    </w:p>
    <w:p>
      <w:pPr>
        <w:rPr>
          <w:w w:val="95"/>
          <w:sz w:val="32"/>
        </w:rPr>
      </w:pPr>
      <w:r>
        <w:rPr>
          <w:rFonts w:hint="eastAsia"/>
          <w:w w:val="95"/>
          <w:sz w:val="32"/>
        </w:rPr>
        <w:br w:type="page"/>
      </w:r>
    </w:p>
    <w:p>
      <w:pPr>
        <w:pStyle w:val="22"/>
      </w:pPr>
      <w:bookmarkStart w:id="180" w:name="（三）、强制性资格条件—企业资质要求表"/>
      <w:bookmarkEnd w:id="180"/>
    </w:p>
    <w:p>
      <w:pPr>
        <w:pStyle w:val="12"/>
      </w:pPr>
    </w:p>
    <w:p>
      <w:pPr>
        <w:pStyle w:val="22"/>
      </w:pPr>
    </w:p>
    <w:p>
      <w:pPr>
        <w:spacing w:before="40"/>
        <w:ind w:right="275"/>
        <w:jc w:val="center"/>
        <w:outlineLvl w:val="1"/>
      </w:pPr>
      <w:bookmarkStart w:id="181" w:name="_Toc8662"/>
      <w:r>
        <w:rPr>
          <w:rFonts w:hint="eastAsia"/>
          <w:sz w:val="32"/>
          <w:szCs w:val="32"/>
        </w:rPr>
        <w:t>投标人近年来完成的类似项目业绩</w:t>
      </w:r>
      <w:bookmarkEnd w:id="181"/>
    </w:p>
    <w:tbl>
      <w:tblPr>
        <w:tblStyle w:val="28"/>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4331"/>
        <w:gridCol w:w="949"/>
        <w:gridCol w:w="1505"/>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02" w:type="dxa"/>
            <w:vAlign w:val="center"/>
          </w:tcPr>
          <w:p>
            <w:pPr>
              <w:pStyle w:val="11"/>
              <w:rPr>
                <w:rFonts w:ascii="宋体" w:eastAsia="宋体"/>
                <w:b/>
                <w:bCs w:val="0"/>
                <w:color w:val="auto"/>
                <w:kern w:val="0"/>
                <w:sz w:val="21"/>
                <w:szCs w:val="21"/>
              </w:rPr>
            </w:pPr>
            <w:r>
              <w:rPr>
                <w:rFonts w:hint="eastAsia" w:ascii="宋体" w:eastAsia="宋体"/>
                <w:b/>
                <w:bCs w:val="0"/>
                <w:color w:val="auto"/>
                <w:kern w:val="0"/>
                <w:sz w:val="21"/>
                <w:szCs w:val="21"/>
              </w:rPr>
              <w:t>序号</w:t>
            </w:r>
          </w:p>
        </w:tc>
        <w:tc>
          <w:tcPr>
            <w:tcW w:w="4331" w:type="dxa"/>
            <w:vAlign w:val="center"/>
          </w:tcPr>
          <w:p>
            <w:pPr>
              <w:pStyle w:val="11"/>
              <w:jc w:val="center"/>
              <w:rPr>
                <w:rFonts w:ascii="宋体" w:eastAsia="宋体"/>
                <w:b/>
                <w:bCs w:val="0"/>
                <w:color w:val="auto"/>
                <w:kern w:val="0"/>
                <w:sz w:val="21"/>
                <w:szCs w:val="21"/>
              </w:rPr>
            </w:pPr>
            <w:r>
              <w:rPr>
                <w:rFonts w:hint="eastAsia" w:ascii="宋体" w:eastAsia="宋体"/>
                <w:b/>
                <w:bCs w:val="0"/>
                <w:color w:val="auto"/>
                <w:kern w:val="0"/>
                <w:sz w:val="21"/>
                <w:szCs w:val="21"/>
              </w:rPr>
              <w:t>项目名称</w:t>
            </w:r>
          </w:p>
        </w:tc>
        <w:tc>
          <w:tcPr>
            <w:tcW w:w="949" w:type="dxa"/>
            <w:vAlign w:val="center"/>
          </w:tcPr>
          <w:p>
            <w:pPr>
              <w:pStyle w:val="11"/>
              <w:jc w:val="center"/>
              <w:rPr>
                <w:rFonts w:ascii="宋体" w:eastAsia="宋体"/>
                <w:b/>
                <w:bCs w:val="0"/>
                <w:color w:val="auto"/>
                <w:kern w:val="0"/>
                <w:sz w:val="21"/>
                <w:szCs w:val="21"/>
              </w:rPr>
            </w:pPr>
            <w:r>
              <w:rPr>
                <w:rFonts w:hint="eastAsia" w:ascii="宋体" w:eastAsia="宋体"/>
                <w:b/>
                <w:bCs w:val="0"/>
                <w:color w:val="auto"/>
                <w:kern w:val="0"/>
                <w:sz w:val="21"/>
                <w:szCs w:val="21"/>
              </w:rPr>
              <w:t>完成</w:t>
            </w:r>
          </w:p>
          <w:p>
            <w:pPr>
              <w:pStyle w:val="11"/>
              <w:jc w:val="center"/>
              <w:rPr>
                <w:rFonts w:ascii="宋体" w:eastAsia="宋体"/>
                <w:b/>
                <w:bCs w:val="0"/>
                <w:color w:val="auto"/>
                <w:kern w:val="0"/>
                <w:sz w:val="21"/>
                <w:szCs w:val="21"/>
              </w:rPr>
            </w:pPr>
            <w:r>
              <w:rPr>
                <w:rFonts w:hint="eastAsia" w:ascii="宋体" w:eastAsia="宋体"/>
                <w:b/>
                <w:bCs w:val="0"/>
                <w:color w:val="auto"/>
                <w:kern w:val="0"/>
                <w:sz w:val="21"/>
                <w:szCs w:val="21"/>
              </w:rPr>
              <w:t>时间</w:t>
            </w:r>
          </w:p>
        </w:tc>
        <w:tc>
          <w:tcPr>
            <w:tcW w:w="1505" w:type="dxa"/>
            <w:vAlign w:val="center"/>
          </w:tcPr>
          <w:p>
            <w:pPr>
              <w:pStyle w:val="11"/>
              <w:jc w:val="center"/>
              <w:rPr>
                <w:rFonts w:ascii="宋体" w:eastAsia="宋体"/>
                <w:b/>
                <w:bCs w:val="0"/>
                <w:color w:val="auto"/>
                <w:kern w:val="0"/>
                <w:sz w:val="21"/>
                <w:szCs w:val="21"/>
              </w:rPr>
            </w:pPr>
            <w:r>
              <w:rPr>
                <w:rFonts w:hint="eastAsia" w:ascii="宋体" w:eastAsia="宋体"/>
                <w:b/>
                <w:bCs w:val="0"/>
                <w:color w:val="auto"/>
                <w:kern w:val="0"/>
                <w:sz w:val="21"/>
                <w:szCs w:val="21"/>
              </w:rPr>
              <w:t>合同金额</w:t>
            </w:r>
          </w:p>
        </w:tc>
        <w:tc>
          <w:tcPr>
            <w:tcW w:w="1887" w:type="dxa"/>
            <w:vAlign w:val="center"/>
          </w:tcPr>
          <w:p>
            <w:pPr>
              <w:pStyle w:val="11"/>
              <w:jc w:val="center"/>
              <w:rPr>
                <w:rFonts w:ascii="宋体" w:eastAsia="宋体"/>
                <w:b/>
                <w:bCs w:val="0"/>
                <w:color w:val="auto"/>
                <w:kern w:val="0"/>
                <w:sz w:val="21"/>
                <w:szCs w:val="21"/>
              </w:rPr>
            </w:pPr>
            <w:r>
              <w:rPr>
                <w:rFonts w:hint="eastAsia" w:ascii="宋体" w:eastAsia="宋体"/>
                <w:b/>
                <w:bCs w:val="0"/>
                <w:color w:val="auto"/>
                <w:kern w:val="0"/>
                <w:sz w:val="21"/>
                <w:szCs w:val="21"/>
              </w:rPr>
              <w:t>项目业主</w:t>
            </w:r>
          </w:p>
          <w:p>
            <w:pPr>
              <w:pStyle w:val="11"/>
              <w:jc w:val="center"/>
              <w:rPr>
                <w:rFonts w:ascii="宋体" w:eastAsia="宋体"/>
                <w:b/>
                <w:bCs w:val="0"/>
                <w:color w:val="auto"/>
                <w:kern w:val="0"/>
                <w:sz w:val="21"/>
                <w:szCs w:val="21"/>
              </w:rPr>
            </w:pPr>
            <w:r>
              <w:rPr>
                <w:rFonts w:hint="eastAsia" w:ascii="宋体" w:eastAsia="宋体"/>
                <w:b/>
                <w:bCs w:val="0"/>
                <w:color w:val="auto"/>
                <w:kern w:val="0"/>
                <w:sz w:val="21"/>
                <w:szCs w:val="21"/>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02" w:type="dxa"/>
          </w:tcPr>
          <w:p>
            <w:pPr>
              <w:pStyle w:val="20"/>
              <w:rPr>
                <w:rFonts w:ascii="宋体" w:hAnsi="宋体"/>
                <w:b w:val="0"/>
                <w:bCs w:val="0"/>
                <w:sz w:val="21"/>
                <w:szCs w:val="21"/>
              </w:rPr>
            </w:pPr>
            <w:bookmarkStart w:id="182" w:name="_Toc26371"/>
            <w:r>
              <w:rPr>
                <w:rFonts w:hint="eastAsia" w:ascii="宋体" w:hAnsi="宋体"/>
                <w:b w:val="0"/>
                <w:bCs w:val="0"/>
                <w:sz w:val="21"/>
                <w:szCs w:val="21"/>
              </w:rPr>
              <w:t>1</w:t>
            </w:r>
            <w:bookmarkEnd w:id="182"/>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02" w:type="dxa"/>
          </w:tcPr>
          <w:p>
            <w:pPr>
              <w:pStyle w:val="20"/>
              <w:rPr>
                <w:rFonts w:ascii="宋体" w:hAnsi="宋体"/>
                <w:b w:val="0"/>
                <w:bCs w:val="0"/>
                <w:sz w:val="21"/>
                <w:szCs w:val="21"/>
              </w:rPr>
            </w:pPr>
            <w:bookmarkStart w:id="183" w:name="_Toc17200"/>
            <w:r>
              <w:rPr>
                <w:rFonts w:hint="eastAsia" w:ascii="宋体" w:hAnsi="宋体"/>
                <w:b w:val="0"/>
                <w:bCs w:val="0"/>
                <w:sz w:val="21"/>
                <w:szCs w:val="21"/>
              </w:rPr>
              <w:t>2</w:t>
            </w:r>
            <w:bookmarkEnd w:id="183"/>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02" w:type="dxa"/>
          </w:tcPr>
          <w:p>
            <w:pPr>
              <w:pStyle w:val="20"/>
              <w:rPr>
                <w:rFonts w:ascii="宋体" w:hAnsi="宋体"/>
                <w:b w:val="0"/>
                <w:bCs w:val="0"/>
                <w:sz w:val="21"/>
                <w:szCs w:val="21"/>
              </w:rPr>
            </w:pPr>
            <w:bookmarkStart w:id="184" w:name="_Toc6850"/>
            <w:r>
              <w:rPr>
                <w:rFonts w:hint="eastAsia" w:ascii="宋体" w:hAnsi="宋体"/>
                <w:b w:val="0"/>
                <w:bCs w:val="0"/>
                <w:sz w:val="21"/>
                <w:szCs w:val="21"/>
              </w:rPr>
              <w:t>3</w:t>
            </w:r>
            <w:bookmarkEnd w:id="184"/>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02" w:type="dxa"/>
          </w:tcPr>
          <w:p>
            <w:pPr>
              <w:pStyle w:val="20"/>
              <w:rPr>
                <w:rFonts w:ascii="宋体" w:hAnsi="宋体"/>
                <w:b w:val="0"/>
                <w:bCs w:val="0"/>
                <w:sz w:val="21"/>
                <w:szCs w:val="21"/>
              </w:rPr>
            </w:pPr>
            <w:bookmarkStart w:id="185" w:name="_Toc16941"/>
            <w:r>
              <w:rPr>
                <w:rFonts w:hint="eastAsia" w:ascii="宋体" w:hAnsi="宋体"/>
                <w:b w:val="0"/>
                <w:bCs w:val="0"/>
                <w:sz w:val="21"/>
                <w:szCs w:val="21"/>
              </w:rPr>
              <w:t>4</w:t>
            </w:r>
            <w:bookmarkEnd w:id="185"/>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02" w:type="dxa"/>
          </w:tcPr>
          <w:p>
            <w:pPr>
              <w:pStyle w:val="20"/>
              <w:rPr>
                <w:rFonts w:ascii="宋体" w:hAnsi="宋体"/>
                <w:b w:val="0"/>
                <w:bCs w:val="0"/>
                <w:sz w:val="21"/>
                <w:szCs w:val="21"/>
              </w:rPr>
            </w:pPr>
            <w:bookmarkStart w:id="186" w:name="_Toc23860"/>
            <w:r>
              <w:rPr>
                <w:rFonts w:hint="eastAsia" w:ascii="宋体" w:hAnsi="宋体"/>
                <w:b w:val="0"/>
                <w:bCs w:val="0"/>
                <w:sz w:val="21"/>
                <w:szCs w:val="21"/>
              </w:rPr>
              <w:t>5</w:t>
            </w:r>
            <w:bookmarkEnd w:id="186"/>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702" w:type="dxa"/>
          </w:tcPr>
          <w:p>
            <w:pPr>
              <w:pStyle w:val="20"/>
              <w:rPr>
                <w:rFonts w:ascii="宋体" w:hAnsi="宋体"/>
                <w:b w:val="0"/>
                <w:bCs w:val="0"/>
                <w:sz w:val="21"/>
                <w:szCs w:val="21"/>
              </w:rPr>
            </w:pPr>
            <w:bookmarkStart w:id="187" w:name="_Toc12580"/>
            <w:r>
              <w:rPr>
                <w:rFonts w:hint="eastAsia" w:ascii="宋体" w:hAnsi="宋体"/>
                <w:b w:val="0"/>
                <w:bCs w:val="0"/>
                <w:sz w:val="21"/>
                <w:szCs w:val="21"/>
              </w:rPr>
              <w:t>6</w:t>
            </w:r>
            <w:bookmarkEnd w:id="187"/>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02" w:type="dxa"/>
          </w:tcPr>
          <w:p>
            <w:pPr>
              <w:pStyle w:val="20"/>
              <w:rPr>
                <w:rFonts w:ascii="宋体" w:hAnsi="宋体"/>
                <w:b w:val="0"/>
                <w:bCs w:val="0"/>
                <w:sz w:val="21"/>
                <w:szCs w:val="21"/>
              </w:rPr>
            </w:pPr>
            <w:bookmarkStart w:id="188" w:name="_Toc9210"/>
            <w:r>
              <w:rPr>
                <w:rFonts w:hint="eastAsia" w:ascii="宋体" w:hAnsi="宋体"/>
                <w:b w:val="0"/>
                <w:bCs w:val="0"/>
                <w:sz w:val="21"/>
                <w:szCs w:val="21"/>
              </w:rPr>
              <w:t>7</w:t>
            </w:r>
            <w:bookmarkEnd w:id="188"/>
          </w:p>
        </w:tc>
        <w:tc>
          <w:tcPr>
            <w:tcW w:w="4331" w:type="dxa"/>
          </w:tcPr>
          <w:p>
            <w:pPr>
              <w:pStyle w:val="20"/>
              <w:outlineLvl w:val="9"/>
              <w:rPr>
                <w:rFonts w:ascii="宋体" w:hAnsi="宋体"/>
                <w:sz w:val="21"/>
                <w:szCs w:val="21"/>
              </w:rPr>
            </w:pPr>
          </w:p>
        </w:tc>
        <w:tc>
          <w:tcPr>
            <w:tcW w:w="949" w:type="dxa"/>
          </w:tcPr>
          <w:p>
            <w:pPr>
              <w:pStyle w:val="20"/>
              <w:outlineLvl w:val="9"/>
              <w:rPr>
                <w:rFonts w:ascii="宋体" w:hAnsi="宋体"/>
                <w:sz w:val="21"/>
                <w:szCs w:val="21"/>
              </w:rPr>
            </w:pPr>
          </w:p>
        </w:tc>
        <w:tc>
          <w:tcPr>
            <w:tcW w:w="1505" w:type="dxa"/>
          </w:tcPr>
          <w:p>
            <w:pPr>
              <w:pStyle w:val="20"/>
              <w:outlineLvl w:val="9"/>
              <w:rPr>
                <w:rFonts w:ascii="宋体" w:hAnsi="宋体"/>
                <w:sz w:val="21"/>
                <w:szCs w:val="21"/>
              </w:rPr>
            </w:pPr>
          </w:p>
        </w:tc>
        <w:tc>
          <w:tcPr>
            <w:tcW w:w="1887" w:type="dxa"/>
          </w:tcPr>
          <w:p>
            <w:pPr>
              <w:pStyle w:val="20"/>
              <w:outlineLvl w:val="9"/>
              <w:rPr>
                <w:rFonts w:ascii="宋体" w:hAnsi="宋体"/>
                <w:sz w:val="21"/>
                <w:szCs w:val="21"/>
              </w:rPr>
            </w:pPr>
          </w:p>
        </w:tc>
      </w:tr>
    </w:tbl>
    <w:p>
      <w:pPr>
        <w:pStyle w:val="12"/>
        <w:spacing w:line="360" w:lineRule="auto"/>
        <w:ind w:left="1092"/>
        <w:rPr>
          <w:b/>
          <w:bCs/>
        </w:rPr>
      </w:pPr>
      <w:r>
        <w:rPr>
          <w:rFonts w:hint="eastAsia"/>
          <w:b/>
          <w:bCs/>
          <w:w w:val="95"/>
        </w:rPr>
        <w:t>注：后附相应证明材料，证明材料按评标办法要求提供。</w:t>
      </w:r>
    </w:p>
    <w:p>
      <w:r>
        <w:rPr>
          <w:rFonts w:hint="eastAsia"/>
        </w:rPr>
        <w:br w:type="page"/>
      </w:r>
    </w:p>
    <w:p>
      <w:pPr>
        <w:pStyle w:val="12"/>
      </w:pPr>
    </w:p>
    <w:p>
      <w:pPr>
        <w:spacing w:before="40"/>
        <w:ind w:right="275"/>
        <w:jc w:val="center"/>
      </w:pPr>
      <w:r>
        <w:rPr>
          <w:rFonts w:hint="eastAsia"/>
        </w:rPr>
        <w:t xml:space="preserve">      </w:t>
      </w:r>
      <w:r>
        <w:rPr>
          <w:rFonts w:hint="eastAsia"/>
          <w:w w:val="95"/>
          <w:sz w:val="32"/>
        </w:rPr>
        <w:t>拟投入的主要班组人员一览表</w:t>
      </w:r>
    </w:p>
    <w:tbl>
      <w:tblPr>
        <w:tblStyle w:val="27"/>
        <w:tblW w:w="9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277"/>
        <w:gridCol w:w="1156"/>
        <w:gridCol w:w="905"/>
        <w:gridCol w:w="1244"/>
        <w:gridCol w:w="1364"/>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姓名</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本工程</w:t>
            </w:r>
          </w:p>
          <w:p>
            <w:pPr>
              <w:jc w:val="center"/>
              <w:rPr>
                <w:szCs w:val="21"/>
              </w:rPr>
            </w:pPr>
            <w:r>
              <w:rPr>
                <w:rFonts w:hint="eastAsia"/>
                <w:szCs w:val="21"/>
              </w:rPr>
              <w:t>拟任岗位</w:t>
            </w:r>
          </w:p>
        </w:tc>
        <w:tc>
          <w:tcPr>
            <w:tcW w:w="115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年龄</w:t>
            </w:r>
          </w:p>
        </w:tc>
        <w:tc>
          <w:tcPr>
            <w:tcW w:w="905"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性别</w:t>
            </w:r>
          </w:p>
        </w:tc>
        <w:tc>
          <w:tcPr>
            <w:tcW w:w="124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专业</w:t>
            </w:r>
          </w:p>
          <w:p>
            <w:pPr>
              <w:jc w:val="center"/>
              <w:rPr>
                <w:szCs w:val="21"/>
              </w:rPr>
            </w:pPr>
            <w:r>
              <w:rPr>
                <w:rFonts w:hint="eastAsia"/>
                <w:szCs w:val="21"/>
              </w:rPr>
              <w:t>年限</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执业证书/职称</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安排上岗</w:t>
            </w:r>
          </w:p>
          <w:p>
            <w:pPr>
              <w:jc w:val="center"/>
              <w:rPr>
                <w:szCs w:val="21"/>
              </w:rPr>
            </w:pPr>
            <w:r>
              <w:rPr>
                <w:rFonts w:hint="eastAsia"/>
                <w:szCs w:val="21"/>
              </w:rPr>
              <w:t>起止时间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2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156"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24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364"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spacing w:line="480" w:lineRule="auto"/>
              <w:ind w:firstLine="6415"/>
              <w:jc w:val="center"/>
              <w:rPr>
                <w:szCs w:val="21"/>
              </w:rPr>
            </w:pPr>
          </w:p>
        </w:tc>
      </w:tr>
    </w:tbl>
    <w:p>
      <w:pPr>
        <w:spacing w:line="360" w:lineRule="auto"/>
        <w:ind w:left="630" w:leftChars="300" w:firstLine="420" w:firstLineChars="200"/>
        <w:rPr>
          <w:szCs w:val="21"/>
        </w:rPr>
      </w:pPr>
      <w:r>
        <w:rPr>
          <w:rFonts w:hint="eastAsia"/>
          <w:szCs w:val="21"/>
        </w:rPr>
        <w:t>注：</w:t>
      </w:r>
      <w:r>
        <w:rPr>
          <w:szCs w:val="21"/>
        </w:rPr>
        <w:t>1</w:t>
      </w:r>
      <w:r>
        <w:rPr>
          <w:rFonts w:hint="eastAsia"/>
          <w:szCs w:val="21"/>
        </w:rPr>
        <w:t>、投标人拟派项目负责人，其他班组人员均应列入，需提供人员证书及由投标人为其缴纳的社保证明。</w:t>
      </w:r>
    </w:p>
    <w:p>
      <w:pPr>
        <w:spacing w:line="360" w:lineRule="auto"/>
        <w:ind w:left="630" w:leftChars="300" w:firstLine="420" w:firstLineChars="200"/>
        <w:rPr>
          <w:szCs w:val="21"/>
        </w:rPr>
      </w:pPr>
      <w:r>
        <w:rPr>
          <w:rFonts w:hint="eastAsia"/>
          <w:szCs w:val="21"/>
        </w:rPr>
        <w:t>2、列入本表人员如更换需经过发包单位的同意，擅自更换或不到位均属违约行为。</w:t>
      </w:r>
    </w:p>
    <w:p>
      <w:pPr>
        <w:pStyle w:val="22"/>
        <w:sectPr>
          <w:pgSz w:w="11910" w:h="16840"/>
          <w:pgMar w:top="1400" w:right="601" w:bottom="278" w:left="879" w:header="0" w:footer="993" w:gutter="0"/>
          <w:pgNumType w:fmt="decimal"/>
          <w:cols w:space="720" w:num="1"/>
        </w:sectPr>
      </w:pPr>
      <w:r>
        <w:rPr>
          <w:rFonts w:hint="eastAsia"/>
        </w:rPr>
        <w:t xml:space="preserve"> </w:t>
      </w:r>
    </w:p>
    <w:p>
      <w:pPr>
        <w:spacing w:before="30"/>
        <w:ind w:left="767" w:right="277" w:firstLine="2530" w:firstLineChars="700"/>
        <w:rPr>
          <w:b/>
          <w:bCs/>
          <w:sz w:val="36"/>
          <w:szCs w:val="36"/>
        </w:rPr>
      </w:pPr>
      <w:bookmarkStart w:id="189" w:name="相关证书、证明材料复印件"/>
      <w:bookmarkEnd w:id="189"/>
      <w:bookmarkStart w:id="190" w:name="没有被限制、暂停或取消投标资格承诺书"/>
      <w:bookmarkEnd w:id="190"/>
    </w:p>
    <w:p>
      <w:pPr>
        <w:pStyle w:val="3"/>
        <w:jc w:val="center"/>
        <w:rPr>
          <w:rFonts w:hint="eastAsia" w:ascii="宋体" w:hAnsi="宋体" w:eastAsia="宋体" w:cs="宋体"/>
          <w:sz w:val="36"/>
          <w:szCs w:val="36"/>
          <w:highlight w:val="cyan"/>
        </w:rPr>
      </w:pPr>
      <w:bookmarkStart w:id="191" w:name="_Toc7994"/>
      <w:r>
        <w:rPr>
          <w:rFonts w:hint="eastAsia" w:ascii="宋体" w:hAnsi="宋体" w:eastAsia="宋体" w:cs="宋体"/>
          <w:sz w:val="36"/>
          <w:szCs w:val="36"/>
          <w:highlight w:val="cyan"/>
        </w:rPr>
        <w:t>技术响应表</w:t>
      </w:r>
      <w:bookmarkEnd w:id="191"/>
    </w:p>
    <w:tbl>
      <w:tblPr>
        <w:tblStyle w:val="27"/>
        <w:tblW w:w="9950" w:type="dxa"/>
        <w:tblInd w:w="8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7"/>
        <w:gridCol w:w="1861"/>
        <w:gridCol w:w="2511"/>
        <w:gridCol w:w="2409"/>
        <w:gridCol w:w="24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jc w:val="center"/>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序号</w:t>
            </w:r>
          </w:p>
        </w:tc>
        <w:tc>
          <w:tcPr>
            <w:tcW w:w="1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jc w:val="center"/>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货物名称</w:t>
            </w:r>
          </w:p>
        </w:tc>
        <w:tc>
          <w:tcPr>
            <w:tcW w:w="2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jc w:val="center"/>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招标文件要求</w:t>
            </w:r>
          </w:p>
        </w:tc>
        <w:tc>
          <w:tcPr>
            <w:tcW w:w="24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jc w:val="center"/>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投标文件响应</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jc w:val="center"/>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186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51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186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51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186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51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186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51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7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w:t>
            </w:r>
          </w:p>
        </w:tc>
        <w:tc>
          <w:tcPr>
            <w:tcW w:w="186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w:t>
            </w:r>
          </w:p>
        </w:tc>
        <w:tc>
          <w:tcPr>
            <w:tcW w:w="2511"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r>
              <w:rPr>
                <w:rFonts w:hint="eastAsia" w:ascii="宋体" w:hAnsi="宋体" w:cs="宋体"/>
                <w:color w:val="auto"/>
                <w:spacing w:val="20"/>
                <w:sz w:val="24"/>
                <w:szCs w:val="24"/>
                <w:highlight w:val="cyan"/>
              </w:rPr>
              <w:t>…</w:t>
            </w:r>
          </w:p>
        </w:tc>
        <w:tc>
          <w:tcPr>
            <w:tcW w:w="240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c>
          <w:tcPr>
            <w:tcW w:w="241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val="0"/>
              <w:autoSpaceDN w:val="0"/>
              <w:bidi w:val="0"/>
              <w:snapToGrid w:val="0"/>
              <w:spacing w:line="360" w:lineRule="auto"/>
              <w:textAlignment w:val="auto"/>
              <w:rPr>
                <w:rFonts w:ascii="宋体" w:hAnsi="宋体" w:cs="宋体"/>
                <w:color w:val="auto"/>
                <w:spacing w:val="20"/>
                <w:sz w:val="24"/>
                <w:szCs w:val="24"/>
                <w:highlight w:val="cyan"/>
              </w:rPr>
            </w:pPr>
          </w:p>
        </w:tc>
      </w:tr>
    </w:tbl>
    <w:p>
      <w:pPr>
        <w:rPr>
          <w:highlight w:val="cyan"/>
        </w:rPr>
      </w:pPr>
    </w:p>
    <w:p>
      <w:pPr>
        <w:snapToGrid w:val="0"/>
        <w:spacing w:before="50" w:after="50"/>
        <w:ind w:firstLine="502" w:firstLineChars="200"/>
        <w:rPr>
          <w:spacing w:val="20"/>
          <w:szCs w:val="21"/>
          <w:highlight w:val="cyan"/>
        </w:rPr>
      </w:pPr>
      <w:r>
        <w:rPr>
          <w:rFonts w:hint="eastAsia"/>
          <w:b/>
          <w:bCs/>
          <w:spacing w:val="20"/>
          <w:szCs w:val="21"/>
          <w:highlight w:val="cyan"/>
        </w:rPr>
        <w:t>注：</w:t>
      </w:r>
      <w:r>
        <w:rPr>
          <w:rFonts w:hint="eastAsia" w:ascii="宋体" w:hAnsi="宋体" w:cs="宋体"/>
          <w:b/>
          <w:bCs/>
          <w:color w:val="auto"/>
          <w:spacing w:val="20"/>
          <w:szCs w:val="21"/>
          <w:highlight w:val="cyan"/>
        </w:rPr>
        <w:t>投标人应对照招标文件要求和投标文件响应情况在“偏离情况”栏注明</w:t>
      </w:r>
      <w:r>
        <w:rPr>
          <w:rFonts w:hint="eastAsia" w:cs="宋体"/>
          <w:b/>
          <w:bCs/>
          <w:color w:val="auto"/>
          <w:spacing w:val="20"/>
          <w:szCs w:val="21"/>
          <w:highlight w:val="cyan"/>
          <w:lang w:val="en-US" w:eastAsia="zh-CN"/>
        </w:rPr>
        <w:t>偏离情况</w:t>
      </w:r>
      <w:r>
        <w:rPr>
          <w:rFonts w:hint="eastAsia" w:ascii="宋体" w:hAnsi="宋体" w:cs="宋体"/>
          <w:b/>
          <w:bCs/>
          <w:color w:val="auto"/>
          <w:spacing w:val="20"/>
          <w:szCs w:val="21"/>
          <w:highlight w:val="cyan"/>
        </w:rPr>
        <w:t>。若</w:t>
      </w:r>
      <w:r>
        <w:rPr>
          <w:rFonts w:hint="eastAsia" w:cs="宋体"/>
          <w:b/>
          <w:bCs/>
          <w:color w:val="auto"/>
          <w:spacing w:val="20"/>
          <w:szCs w:val="21"/>
          <w:highlight w:val="cyan"/>
          <w:lang w:val="en-US" w:eastAsia="zh-CN"/>
        </w:rPr>
        <w:t>投标人</w:t>
      </w:r>
      <w:r>
        <w:rPr>
          <w:rFonts w:hint="eastAsia" w:cs="宋体"/>
          <w:b/>
          <w:bCs/>
          <w:color w:val="auto"/>
          <w:spacing w:val="20"/>
          <w:szCs w:val="21"/>
          <w:highlight w:val="cyan"/>
          <w:lang w:eastAsia="zh-CN"/>
        </w:rPr>
        <w:t>在</w:t>
      </w:r>
      <w:r>
        <w:rPr>
          <w:rFonts w:hint="eastAsia" w:cs="宋体"/>
          <w:b/>
          <w:bCs/>
          <w:color w:val="auto"/>
          <w:spacing w:val="20"/>
          <w:szCs w:val="21"/>
          <w:highlight w:val="cyan"/>
          <w:lang w:val="en-US" w:eastAsia="zh-CN"/>
        </w:rPr>
        <w:t>投标文件技术响应表中无注明偏离情况，招标人默认为投标人是对招标文件要求的完全响应。（全部符合招标文件要求）</w:t>
      </w:r>
    </w:p>
    <w:p>
      <w:pPr>
        <w:pStyle w:val="11"/>
        <w:rPr>
          <w:rFonts w:ascii="宋体" w:eastAsia="宋体"/>
          <w:b/>
          <w:bCs w:val="0"/>
          <w:color w:val="auto"/>
          <w:spacing w:val="20"/>
          <w:szCs w:val="24"/>
          <w:highlight w:val="cyan"/>
        </w:rPr>
      </w:pPr>
    </w:p>
    <w:p>
      <w:pPr>
        <w:snapToGrid w:val="0"/>
        <w:spacing w:before="50" w:after="50"/>
        <w:rPr>
          <w:bCs/>
          <w:spacing w:val="20"/>
          <w:sz w:val="24"/>
          <w:szCs w:val="24"/>
          <w:highlight w:val="cyan"/>
        </w:rPr>
      </w:pPr>
    </w:p>
    <w:p>
      <w:pPr>
        <w:pStyle w:val="25"/>
        <w:spacing w:line="360" w:lineRule="auto"/>
        <w:ind w:firstLine="1200" w:firstLineChars="500"/>
        <w:rPr>
          <w:sz w:val="24"/>
          <w:szCs w:val="24"/>
          <w:highlight w:val="cyan"/>
        </w:rPr>
      </w:pPr>
      <w:r>
        <w:rPr>
          <w:rFonts w:hint="eastAsia"/>
          <w:sz w:val="24"/>
          <w:szCs w:val="24"/>
          <w:highlight w:val="cyan"/>
        </w:rPr>
        <w:t>投标人：</w:t>
      </w:r>
      <w:r>
        <w:rPr>
          <w:rFonts w:hint="eastAsia"/>
          <w:sz w:val="24"/>
          <w:szCs w:val="24"/>
          <w:highlight w:val="cyan"/>
          <w:u w:val="single"/>
        </w:rPr>
        <w:t xml:space="preserve">                      </w:t>
      </w:r>
      <w:r>
        <w:rPr>
          <w:rFonts w:hint="eastAsia"/>
          <w:sz w:val="24"/>
          <w:szCs w:val="24"/>
          <w:highlight w:val="cyan"/>
        </w:rPr>
        <w:t>（盖单位公章）</w:t>
      </w:r>
    </w:p>
    <w:p>
      <w:pPr>
        <w:spacing w:line="360" w:lineRule="auto"/>
        <w:ind w:firstLine="1200" w:firstLineChars="500"/>
        <w:rPr>
          <w:sz w:val="24"/>
          <w:szCs w:val="24"/>
          <w:highlight w:val="cyan"/>
        </w:rPr>
      </w:pPr>
      <w:r>
        <w:rPr>
          <w:rFonts w:hint="eastAsia"/>
          <w:sz w:val="24"/>
          <w:szCs w:val="24"/>
          <w:highlight w:val="cyan"/>
        </w:rPr>
        <w:t>法定代表人或其委托代理人：</w:t>
      </w:r>
      <w:r>
        <w:rPr>
          <w:rFonts w:hint="eastAsia"/>
          <w:sz w:val="24"/>
          <w:szCs w:val="24"/>
          <w:highlight w:val="cyan"/>
          <w:u w:val="single"/>
        </w:rPr>
        <w:t xml:space="preserve">           </w:t>
      </w:r>
      <w:r>
        <w:rPr>
          <w:rFonts w:hint="eastAsia"/>
          <w:sz w:val="24"/>
          <w:szCs w:val="24"/>
          <w:highlight w:val="cyan"/>
        </w:rPr>
        <w:t xml:space="preserve">（签字或盖章） </w:t>
      </w:r>
    </w:p>
    <w:p>
      <w:pPr>
        <w:pStyle w:val="22"/>
        <w:spacing w:line="360" w:lineRule="auto"/>
        <w:ind w:firstLine="1200" w:firstLineChars="500"/>
        <w:rPr>
          <w:sz w:val="24"/>
          <w:szCs w:val="24"/>
          <w:highlight w:val="cyan"/>
        </w:rPr>
      </w:pPr>
      <w:r>
        <w:rPr>
          <w:rFonts w:hint="eastAsia"/>
          <w:sz w:val="24"/>
          <w:szCs w:val="24"/>
          <w:highlight w:val="cyan"/>
        </w:rPr>
        <w:t>日期：    年    月    日</w:t>
      </w:r>
    </w:p>
    <w:p>
      <w:pPr>
        <w:rPr>
          <w:sz w:val="24"/>
          <w:szCs w:val="24"/>
        </w:rPr>
      </w:pPr>
      <w:r>
        <w:rPr>
          <w:rFonts w:hint="eastAsia"/>
          <w:sz w:val="24"/>
          <w:szCs w:val="24"/>
        </w:rPr>
        <w:br w:type="page"/>
      </w:r>
    </w:p>
    <w:p>
      <w:pPr>
        <w:pStyle w:val="9"/>
        <w:snapToGrid w:val="0"/>
        <w:spacing w:before="100" w:after="100"/>
        <w:jc w:val="center"/>
        <w:rPr>
          <w:rFonts w:ascii="宋体" w:hAnsi="宋体" w:eastAsia="宋体" w:cs="宋体"/>
          <w:sz w:val="28"/>
          <w:szCs w:val="28"/>
        </w:rPr>
      </w:pPr>
      <w:r>
        <w:rPr>
          <w:rFonts w:hint="eastAsia" w:ascii="宋体" w:hAnsi="宋体" w:eastAsia="宋体" w:cs="宋体"/>
          <w:b/>
          <w:bCs/>
          <w:sz w:val="28"/>
          <w:szCs w:val="28"/>
        </w:rPr>
        <w:t>投标人提供的材料、辅助材料、专用工具、备品备件及易耗件一览表</w:t>
      </w:r>
    </w:p>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868"/>
        <w:gridCol w:w="1100"/>
        <w:gridCol w:w="725"/>
        <w:gridCol w:w="874"/>
        <w:gridCol w:w="891"/>
        <w:gridCol w:w="1115"/>
        <w:gridCol w:w="1051"/>
        <w:gridCol w:w="699"/>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97" w:type="pct"/>
            <w:vMerge w:val="restart"/>
            <w:vAlign w:val="center"/>
          </w:tcPr>
          <w:p>
            <w:pPr>
              <w:jc w:val="center"/>
              <w:rPr>
                <w:szCs w:val="21"/>
              </w:rPr>
            </w:pPr>
            <w:r>
              <w:rPr>
                <w:rFonts w:hint="eastAsia"/>
                <w:szCs w:val="21"/>
              </w:rPr>
              <w:t>序号</w:t>
            </w:r>
          </w:p>
        </w:tc>
        <w:tc>
          <w:tcPr>
            <w:tcW w:w="1346" w:type="pct"/>
            <w:vMerge w:val="restart"/>
            <w:vAlign w:val="center"/>
          </w:tcPr>
          <w:p>
            <w:pPr>
              <w:jc w:val="center"/>
              <w:rPr>
                <w:szCs w:val="21"/>
              </w:rPr>
            </w:pPr>
            <w:r>
              <w:rPr>
                <w:rFonts w:hint="eastAsia"/>
                <w:szCs w:val="21"/>
              </w:rPr>
              <w:t>货物名称</w:t>
            </w:r>
          </w:p>
        </w:tc>
        <w:tc>
          <w:tcPr>
            <w:tcW w:w="516" w:type="pct"/>
            <w:vMerge w:val="restart"/>
            <w:vAlign w:val="center"/>
          </w:tcPr>
          <w:p>
            <w:pPr>
              <w:jc w:val="center"/>
              <w:rPr>
                <w:szCs w:val="21"/>
              </w:rPr>
            </w:pPr>
            <w:r>
              <w:rPr>
                <w:rFonts w:hint="eastAsia"/>
                <w:szCs w:val="21"/>
              </w:rPr>
              <w:t>规格、</w:t>
            </w:r>
          </w:p>
          <w:p>
            <w:pPr>
              <w:jc w:val="center"/>
              <w:rPr>
                <w:szCs w:val="21"/>
              </w:rPr>
            </w:pPr>
            <w:r>
              <w:rPr>
                <w:rFonts w:hint="eastAsia"/>
                <w:szCs w:val="21"/>
              </w:rPr>
              <w:t>型号</w:t>
            </w:r>
          </w:p>
        </w:tc>
        <w:tc>
          <w:tcPr>
            <w:tcW w:w="340" w:type="pct"/>
            <w:vMerge w:val="restart"/>
            <w:vAlign w:val="center"/>
          </w:tcPr>
          <w:p>
            <w:pPr>
              <w:jc w:val="center"/>
              <w:rPr>
                <w:szCs w:val="21"/>
              </w:rPr>
            </w:pPr>
            <w:r>
              <w:rPr>
                <w:rFonts w:hint="eastAsia"/>
                <w:szCs w:val="21"/>
              </w:rPr>
              <w:t>产地</w:t>
            </w:r>
          </w:p>
        </w:tc>
        <w:tc>
          <w:tcPr>
            <w:tcW w:w="410" w:type="pct"/>
            <w:vMerge w:val="restart"/>
            <w:vAlign w:val="center"/>
          </w:tcPr>
          <w:p>
            <w:pPr>
              <w:jc w:val="center"/>
              <w:rPr>
                <w:szCs w:val="21"/>
              </w:rPr>
            </w:pPr>
            <w:r>
              <w:rPr>
                <w:rFonts w:hint="eastAsia"/>
                <w:szCs w:val="21"/>
              </w:rPr>
              <w:t>单位</w:t>
            </w:r>
          </w:p>
        </w:tc>
        <w:tc>
          <w:tcPr>
            <w:tcW w:w="418" w:type="pct"/>
            <w:vMerge w:val="restart"/>
            <w:vAlign w:val="center"/>
          </w:tcPr>
          <w:p>
            <w:pPr>
              <w:jc w:val="center"/>
              <w:rPr>
                <w:szCs w:val="21"/>
              </w:rPr>
            </w:pPr>
            <w:r>
              <w:rPr>
                <w:rFonts w:hint="eastAsia"/>
                <w:szCs w:val="21"/>
              </w:rPr>
              <w:t>数量</w:t>
            </w:r>
          </w:p>
        </w:tc>
        <w:tc>
          <w:tcPr>
            <w:tcW w:w="1016" w:type="pct"/>
            <w:gridSpan w:val="2"/>
            <w:vAlign w:val="center"/>
          </w:tcPr>
          <w:p>
            <w:pPr>
              <w:jc w:val="center"/>
              <w:rPr>
                <w:szCs w:val="21"/>
              </w:rPr>
            </w:pPr>
            <w:r>
              <w:rPr>
                <w:rFonts w:hint="eastAsia"/>
                <w:szCs w:val="21"/>
              </w:rPr>
              <w:t>单价</w:t>
            </w:r>
          </w:p>
        </w:tc>
        <w:tc>
          <w:tcPr>
            <w:tcW w:w="328" w:type="pct"/>
            <w:vMerge w:val="restart"/>
            <w:vAlign w:val="center"/>
          </w:tcPr>
          <w:p>
            <w:pPr>
              <w:jc w:val="center"/>
              <w:rPr>
                <w:szCs w:val="21"/>
              </w:rPr>
            </w:pPr>
            <w:r>
              <w:rPr>
                <w:rFonts w:hint="eastAsia"/>
                <w:szCs w:val="21"/>
              </w:rPr>
              <w:t>合价</w:t>
            </w:r>
          </w:p>
        </w:tc>
        <w:tc>
          <w:tcPr>
            <w:tcW w:w="324" w:type="pct"/>
            <w:vMerge w:val="restart"/>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97" w:type="pct"/>
            <w:vMerge w:val="continue"/>
            <w:vAlign w:val="center"/>
          </w:tcPr>
          <w:p>
            <w:pPr>
              <w:jc w:val="center"/>
              <w:rPr>
                <w:szCs w:val="21"/>
              </w:rPr>
            </w:pPr>
          </w:p>
        </w:tc>
        <w:tc>
          <w:tcPr>
            <w:tcW w:w="1346" w:type="pct"/>
            <w:vMerge w:val="continue"/>
            <w:vAlign w:val="center"/>
          </w:tcPr>
          <w:p>
            <w:pPr>
              <w:jc w:val="center"/>
              <w:rPr>
                <w:szCs w:val="21"/>
              </w:rPr>
            </w:pPr>
          </w:p>
        </w:tc>
        <w:tc>
          <w:tcPr>
            <w:tcW w:w="516" w:type="pct"/>
            <w:vMerge w:val="continue"/>
            <w:vAlign w:val="center"/>
          </w:tcPr>
          <w:p>
            <w:pPr>
              <w:jc w:val="center"/>
              <w:rPr>
                <w:szCs w:val="21"/>
              </w:rPr>
            </w:pPr>
          </w:p>
        </w:tc>
        <w:tc>
          <w:tcPr>
            <w:tcW w:w="340" w:type="pct"/>
            <w:vMerge w:val="continue"/>
            <w:vAlign w:val="center"/>
          </w:tcPr>
          <w:p>
            <w:pPr>
              <w:jc w:val="center"/>
              <w:rPr>
                <w:szCs w:val="21"/>
              </w:rPr>
            </w:pPr>
          </w:p>
        </w:tc>
        <w:tc>
          <w:tcPr>
            <w:tcW w:w="410" w:type="pct"/>
            <w:vMerge w:val="continue"/>
            <w:vAlign w:val="center"/>
          </w:tcPr>
          <w:p>
            <w:pPr>
              <w:jc w:val="center"/>
              <w:rPr>
                <w:szCs w:val="21"/>
              </w:rPr>
            </w:pPr>
          </w:p>
        </w:tc>
        <w:tc>
          <w:tcPr>
            <w:tcW w:w="418" w:type="pct"/>
            <w:vMerge w:val="continue"/>
            <w:vAlign w:val="center"/>
          </w:tcPr>
          <w:p>
            <w:pPr>
              <w:jc w:val="center"/>
              <w:rPr>
                <w:szCs w:val="21"/>
              </w:rPr>
            </w:pPr>
          </w:p>
        </w:tc>
        <w:tc>
          <w:tcPr>
            <w:tcW w:w="523" w:type="pct"/>
            <w:vAlign w:val="center"/>
          </w:tcPr>
          <w:p>
            <w:pPr>
              <w:jc w:val="center"/>
              <w:rPr>
                <w:szCs w:val="21"/>
              </w:rPr>
            </w:pPr>
            <w:r>
              <w:rPr>
                <w:rFonts w:hint="eastAsia"/>
                <w:szCs w:val="21"/>
              </w:rPr>
              <w:t>市场价</w:t>
            </w:r>
          </w:p>
        </w:tc>
        <w:tc>
          <w:tcPr>
            <w:tcW w:w="492" w:type="pct"/>
            <w:vAlign w:val="center"/>
          </w:tcPr>
          <w:p>
            <w:pPr>
              <w:jc w:val="center"/>
              <w:rPr>
                <w:szCs w:val="21"/>
              </w:rPr>
            </w:pPr>
            <w:r>
              <w:rPr>
                <w:rFonts w:hint="eastAsia"/>
                <w:szCs w:val="21"/>
              </w:rPr>
              <w:t>优惠价</w:t>
            </w:r>
          </w:p>
        </w:tc>
        <w:tc>
          <w:tcPr>
            <w:tcW w:w="328" w:type="pct"/>
            <w:vMerge w:val="continue"/>
            <w:vAlign w:val="center"/>
          </w:tcPr>
          <w:p>
            <w:pPr>
              <w:jc w:val="center"/>
              <w:rPr>
                <w:szCs w:val="21"/>
              </w:rPr>
            </w:pPr>
          </w:p>
        </w:tc>
        <w:tc>
          <w:tcPr>
            <w:tcW w:w="324"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97" w:type="pct"/>
            <w:vAlign w:val="center"/>
          </w:tcPr>
          <w:p>
            <w:pPr>
              <w:jc w:val="center"/>
              <w:rPr>
                <w:szCs w:val="21"/>
              </w:rPr>
            </w:pPr>
          </w:p>
        </w:tc>
        <w:tc>
          <w:tcPr>
            <w:tcW w:w="1346" w:type="pct"/>
            <w:vAlign w:val="center"/>
          </w:tcPr>
          <w:p>
            <w:pPr>
              <w:numPr>
                <w:ilvl w:val="0"/>
                <w:numId w:val="24"/>
              </w:numPr>
              <w:autoSpaceDE w:val="0"/>
              <w:autoSpaceDN w:val="0"/>
              <w:jc w:val="left"/>
              <w:rPr>
                <w:szCs w:val="21"/>
              </w:rPr>
            </w:pPr>
            <w:r>
              <w:rPr>
                <w:rFonts w:hint="eastAsia"/>
                <w:b/>
                <w:bCs/>
                <w:szCs w:val="21"/>
                <w:u w:val="single"/>
              </w:rPr>
              <w:t xml:space="preserve">        </w:t>
            </w:r>
            <w:r>
              <w:rPr>
                <w:rFonts w:hint="eastAsia"/>
                <w:b/>
                <w:bCs/>
                <w:szCs w:val="21"/>
              </w:rPr>
              <w:t>备品备件（易损件）清单</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97" w:type="pct"/>
            <w:vAlign w:val="center"/>
          </w:tcPr>
          <w:p>
            <w:pPr>
              <w:jc w:val="center"/>
              <w:rPr>
                <w:szCs w:val="21"/>
              </w:rPr>
            </w:pPr>
          </w:p>
        </w:tc>
        <w:tc>
          <w:tcPr>
            <w:tcW w:w="1346" w:type="pct"/>
            <w:vAlign w:val="center"/>
          </w:tcPr>
          <w:p>
            <w:pPr>
              <w:rPr>
                <w:szCs w:val="21"/>
              </w:rPr>
            </w:pPr>
            <w:r>
              <w:rPr>
                <w:szCs w:val="21"/>
              </w:rPr>
              <w:t>以下按清单内容填写</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97" w:type="pct"/>
            <w:vAlign w:val="center"/>
          </w:tcPr>
          <w:p>
            <w:pPr>
              <w:jc w:val="center"/>
              <w:rPr>
                <w:szCs w:val="21"/>
              </w:rPr>
            </w:pPr>
          </w:p>
        </w:tc>
        <w:tc>
          <w:tcPr>
            <w:tcW w:w="1346" w:type="pct"/>
            <w:vAlign w:val="center"/>
          </w:tcPr>
          <w:p>
            <w:pPr>
              <w:rPr>
                <w:szCs w:val="21"/>
              </w:rPr>
            </w:pPr>
            <w:r>
              <w:rPr>
                <w:rFonts w:hint="eastAsia"/>
                <w:szCs w:val="21"/>
              </w:rPr>
              <w:t>二、材料及辅助材料清单</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97" w:type="pct"/>
            <w:vAlign w:val="center"/>
          </w:tcPr>
          <w:p>
            <w:pPr>
              <w:jc w:val="center"/>
              <w:rPr>
                <w:szCs w:val="21"/>
              </w:rPr>
            </w:pPr>
          </w:p>
        </w:tc>
        <w:tc>
          <w:tcPr>
            <w:tcW w:w="1346" w:type="pct"/>
            <w:vAlign w:val="center"/>
          </w:tcPr>
          <w:p>
            <w:pPr>
              <w:rPr>
                <w:szCs w:val="21"/>
              </w:rPr>
            </w:pPr>
            <w:r>
              <w:rPr>
                <w:szCs w:val="21"/>
              </w:rPr>
              <w:t>以下内容由投标单位自行填写</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97" w:type="pct"/>
            <w:vAlign w:val="center"/>
          </w:tcPr>
          <w:p>
            <w:pPr>
              <w:jc w:val="center"/>
              <w:rPr>
                <w:szCs w:val="21"/>
              </w:rPr>
            </w:pPr>
          </w:p>
        </w:tc>
        <w:tc>
          <w:tcPr>
            <w:tcW w:w="1346" w:type="pct"/>
            <w:vAlign w:val="center"/>
          </w:tcPr>
          <w:p>
            <w:pPr>
              <w:rPr>
                <w:szCs w:val="21"/>
              </w:rPr>
            </w:pPr>
            <w:r>
              <w:rPr>
                <w:rFonts w:hint="eastAsia"/>
                <w:szCs w:val="21"/>
              </w:rPr>
              <w:t>三、专业工具清单</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97" w:type="pct"/>
            <w:vAlign w:val="center"/>
          </w:tcPr>
          <w:p>
            <w:pPr>
              <w:jc w:val="center"/>
              <w:rPr>
                <w:szCs w:val="21"/>
              </w:rPr>
            </w:pPr>
          </w:p>
        </w:tc>
        <w:tc>
          <w:tcPr>
            <w:tcW w:w="1346" w:type="pct"/>
            <w:vAlign w:val="center"/>
          </w:tcPr>
          <w:p>
            <w:pPr>
              <w:rPr>
                <w:szCs w:val="21"/>
              </w:rPr>
            </w:pPr>
            <w:r>
              <w:rPr>
                <w:szCs w:val="21"/>
              </w:rPr>
              <w:t>以下内容由投标单位自行填写</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97" w:type="pct"/>
            <w:vAlign w:val="center"/>
          </w:tcPr>
          <w:p>
            <w:pPr>
              <w:jc w:val="center"/>
              <w:rPr>
                <w:szCs w:val="21"/>
              </w:rPr>
            </w:pPr>
          </w:p>
        </w:tc>
        <w:tc>
          <w:tcPr>
            <w:tcW w:w="1346" w:type="pct"/>
            <w:vAlign w:val="center"/>
          </w:tcPr>
          <w:p>
            <w:pPr>
              <w:rPr>
                <w:szCs w:val="21"/>
              </w:rPr>
            </w:pPr>
            <w:r>
              <w:rPr>
                <w:rFonts w:hint="eastAsia"/>
                <w:szCs w:val="21"/>
              </w:rPr>
              <w:t>四、其他清单</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97" w:type="pct"/>
            <w:vAlign w:val="center"/>
          </w:tcPr>
          <w:p>
            <w:pPr>
              <w:jc w:val="center"/>
              <w:rPr>
                <w:szCs w:val="21"/>
              </w:rPr>
            </w:pPr>
          </w:p>
        </w:tc>
        <w:tc>
          <w:tcPr>
            <w:tcW w:w="1346" w:type="pct"/>
            <w:vAlign w:val="center"/>
          </w:tcPr>
          <w:p>
            <w:pPr>
              <w:rPr>
                <w:szCs w:val="21"/>
              </w:rPr>
            </w:pPr>
            <w:r>
              <w:rPr>
                <w:szCs w:val="21"/>
              </w:rPr>
              <w:t>以下内容由投标单位自行填写</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523" w:type="pct"/>
            <w:vAlign w:val="center"/>
          </w:tcPr>
          <w:p>
            <w:pPr>
              <w:jc w:val="center"/>
              <w:rPr>
                <w:szCs w:val="21"/>
              </w:rPr>
            </w:pPr>
          </w:p>
        </w:tc>
        <w:tc>
          <w:tcPr>
            <w:tcW w:w="492" w:type="pct"/>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97" w:type="pct"/>
            <w:vAlign w:val="center"/>
          </w:tcPr>
          <w:p>
            <w:pPr>
              <w:jc w:val="center"/>
              <w:rPr>
                <w:szCs w:val="21"/>
              </w:rPr>
            </w:pPr>
          </w:p>
        </w:tc>
        <w:tc>
          <w:tcPr>
            <w:tcW w:w="1346" w:type="pct"/>
            <w:vAlign w:val="center"/>
          </w:tcPr>
          <w:p>
            <w:pPr>
              <w:jc w:val="center"/>
              <w:rPr>
                <w:szCs w:val="21"/>
              </w:rPr>
            </w:pPr>
            <w:r>
              <w:rPr>
                <w:rFonts w:hint="eastAsia"/>
                <w:szCs w:val="21"/>
              </w:rPr>
              <w:t>合  计</w:t>
            </w:r>
          </w:p>
        </w:tc>
        <w:tc>
          <w:tcPr>
            <w:tcW w:w="516" w:type="pct"/>
            <w:vAlign w:val="center"/>
          </w:tcPr>
          <w:p>
            <w:pPr>
              <w:jc w:val="center"/>
              <w:rPr>
                <w:szCs w:val="21"/>
              </w:rPr>
            </w:pPr>
          </w:p>
        </w:tc>
        <w:tc>
          <w:tcPr>
            <w:tcW w:w="340" w:type="pct"/>
            <w:vAlign w:val="center"/>
          </w:tcPr>
          <w:p>
            <w:pPr>
              <w:jc w:val="center"/>
              <w:rPr>
                <w:szCs w:val="21"/>
              </w:rPr>
            </w:pPr>
          </w:p>
        </w:tc>
        <w:tc>
          <w:tcPr>
            <w:tcW w:w="410" w:type="pct"/>
            <w:vAlign w:val="center"/>
          </w:tcPr>
          <w:p>
            <w:pPr>
              <w:jc w:val="center"/>
              <w:rPr>
                <w:szCs w:val="21"/>
              </w:rPr>
            </w:pPr>
          </w:p>
        </w:tc>
        <w:tc>
          <w:tcPr>
            <w:tcW w:w="418" w:type="pct"/>
            <w:vAlign w:val="center"/>
          </w:tcPr>
          <w:p>
            <w:pPr>
              <w:jc w:val="center"/>
              <w:rPr>
                <w:szCs w:val="21"/>
              </w:rPr>
            </w:pPr>
          </w:p>
        </w:tc>
        <w:tc>
          <w:tcPr>
            <w:tcW w:w="1016" w:type="pct"/>
            <w:gridSpan w:val="2"/>
            <w:vAlign w:val="center"/>
          </w:tcPr>
          <w:p>
            <w:pPr>
              <w:jc w:val="center"/>
              <w:rPr>
                <w:szCs w:val="21"/>
              </w:rPr>
            </w:pPr>
          </w:p>
        </w:tc>
        <w:tc>
          <w:tcPr>
            <w:tcW w:w="328" w:type="pct"/>
            <w:vAlign w:val="center"/>
          </w:tcPr>
          <w:p>
            <w:pPr>
              <w:jc w:val="center"/>
              <w:rPr>
                <w:szCs w:val="21"/>
              </w:rPr>
            </w:pPr>
          </w:p>
        </w:tc>
        <w:tc>
          <w:tcPr>
            <w:tcW w:w="324" w:type="pct"/>
            <w:vAlign w:val="center"/>
          </w:tcPr>
          <w:p>
            <w:pPr>
              <w:jc w:val="center"/>
              <w:rPr>
                <w:szCs w:val="21"/>
              </w:rPr>
            </w:pPr>
          </w:p>
        </w:tc>
      </w:tr>
    </w:tbl>
    <w:p>
      <w:pPr>
        <w:snapToGrid w:val="0"/>
        <w:spacing w:line="360" w:lineRule="auto"/>
        <w:rPr>
          <w:b/>
        </w:rPr>
      </w:pPr>
      <w:r>
        <w:rPr>
          <w:rFonts w:hint="eastAsia"/>
          <w:b/>
          <w:szCs w:val="21"/>
        </w:rPr>
        <w:t>注</w:t>
      </w:r>
      <w:r>
        <w:rPr>
          <w:rFonts w:hint="eastAsia"/>
          <w:b/>
        </w:rPr>
        <w:t>：1.承诺上述单价（优惠价）质保期满后5年内有效。该单价（优惠价）作为招标人质保期后使用材料、辅助材料、专业工具、备品备件及易耗件的价格，为现场交货价。</w:t>
      </w:r>
    </w:p>
    <w:p>
      <w:pPr>
        <w:numPr>
          <w:ilvl w:val="0"/>
          <w:numId w:val="25"/>
        </w:numPr>
        <w:autoSpaceDE w:val="0"/>
        <w:autoSpaceDN w:val="0"/>
        <w:snapToGrid w:val="0"/>
        <w:spacing w:line="360" w:lineRule="auto"/>
        <w:ind w:firstLine="422" w:firstLineChars="200"/>
        <w:jc w:val="left"/>
        <w:rPr>
          <w:b/>
        </w:rPr>
      </w:pPr>
      <w:r>
        <w:rPr>
          <w:rFonts w:hint="eastAsia"/>
          <w:b/>
        </w:rPr>
        <w:t>其他清单是投标人认为需要填报的内容，未填写视为优惠报价。</w:t>
      </w:r>
    </w:p>
    <w:p>
      <w:pPr>
        <w:pStyle w:val="12"/>
      </w:pPr>
    </w:p>
    <w:p>
      <w:pPr>
        <w:pStyle w:val="12"/>
      </w:pPr>
    </w:p>
    <w:p>
      <w:pPr>
        <w:pStyle w:val="25"/>
        <w:spacing w:line="360" w:lineRule="exact"/>
        <w:ind w:firstLine="0" w:firstLineChars="0"/>
        <w:rPr>
          <w:sz w:val="21"/>
          <w:szCs w:val="21"/>
        </w:rPr>
      </w:pPr>
    </w:p>
    <w:p>
      <w:pPr>
        <w:pStyle w:val="25"/>
        <w:spacing w:line="360" w:lineRule="exact"/>
        <w:ind w:firstLine="0" w:firstLineChars="0"/>
        <w:rPr>
          <w:sz w:val="21"/>
          <w:szCs w:val="21"/>
        </w:rPr>
      </w:pPr>
    </w:p>
    <w:p>
      <w:pPr>
        <w:pStyle w:val="25"/>
        <w:spacing w:line="360" w:lineRule="exact"/>
        <w:ind w:firstLine="0" w:firstLineChars="0"/>
        <w:rPr>
          <w:szCs w:val="21"/>
        </w:rPr>
      </w:pPr>
      <w:r>
        <w:rPr>
          <w:rFonts w:hint="eastAsia"/>
          <w:sz w:val="21"/>
          <w:szCs w:val="21"/>
        </w:rPr>
        <w:t>投标人：（盖单位公章）</w:t>
      </w:r>
    </w:p>
    <w:p>
      <w:pPr>
        <w:spacing w:line="360" w:lineRule="exact"/>
      </w:pPr>
      <w:r>
        <w:rPr>
          <w:rFonts w:hint="eastAsia"/>
          <w:szCs w:val="21"/>
        </w:rPr>
        <w:t xml:space="preserve">法定代表人或其委托代理人：（签名或盖章） </w:t>
      </w:r>
    </w:p>
    <w:p>
      <w:pPr>
        <w:spacing w:line="360" w:lineRule="exact"/>
        <w:rPr>
          <w:szCs w:val="21"/>
        </w:rPr>
      </w:pPr>
      <w:r>
        <w:rPr>
          <w:rFonts w:hint="eastAsia"/>
          <w:szCs w:val="21"/>
        </w:rPr>
        <w:t>日期：    年    月    日</w:t>
      </w:r>
    </w:p>
    <w:p>
      <w:pPr>
        <w:rPr>
          <w:szCs w:val="21"/>
        </w:rPr>
      </w:pPr>
    </w:p>
    <w:sectPr>
      <w:footerReference r:id="rId10" w:type="default"/>
      <w:pgSz w:w="11910" w:h="16840"/>
      <w:pgMar w:top="1400" w:right="601" w:bottom="278" w:left="879"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S?o｡ﾀ?">
    <w:altName w:val="MS PGothic"/>
    <w:panose1 w:val="00000000000000000000"/>
    <w:charset w:val="80"/>
    <w:family w:val="modern"/>
    <w:pitch w:val="default"/>
    <w:sig w:usb0="00000000" w:usb1="00000000" w:usb2="00000010" w:usb3="00000000" w:csb0="00020000" w:csb1="00000000"/>
  </w:font>
  <w:font w:name="MS PGothic">
    <w:panose1 w:val="020B0600070205080204"/>
    <w:charset w:val="80"/>
    <w:family w:val="auto"/>
    <w:pitch w:val="default"/>
    <w:sig w:usb0="E00002FF" w:usb1="6AC7FDFB" w:usb2="00000012" w:usb3="00000000" w:csb0="4002009F" w:csb1="DFD7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rPr>
        <w:rStyle w:val="31"/>
      </w:rPr>
    </w:pPr>
    <w:r>
      <w:fldChar w:fldCharType="begin"/>
    </w:r>
    <w:r>
      <w:rPr>
        <w:rStyle w:val="31"/>
      </w:rPr>
      <w:instrText xml:space="preserve">PAGE  </w:instrText>
    </w:r>
    <w:r>
      <w:fldChar w:fldCharType="separate"/>
    </w:r>
    <w:r>
      <w:rPr>
        <w:rStyle w:val="31"/>
      </w:rPr>
      <w:t>16</w: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51</w:t>
                    </w:r>
                    <w:r>
                      <w:fldChar w:fldCharType="end"/>
                    </w:r>
                  </w:p>
                </w:txbxContent>
              </v:textbox>
            </v:shape>
          </w:pict>
        </mc:Fallback>
      </mc:AlternateContent>
    </w:r>
  </w:p>
  <w:p>
    <w:pPr>
      <w:pStyle w:val="12"/>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7154"/>
        <w:tab w:val="clear" w:pos="8306"/>
      </w:tabs>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68</w:t>
                    </w:r>
                    <w: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pStyle w:val="12"/>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pStyle w:val="12"/>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567" w:firstLineChars="3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F1A4EA"/>
    <w:multiLevelType w:val="singleLevel"/>
    <w:tmpl w:val="81F1A4EA"/>
    <w:lvl w:ilvl="0" w:tentative="0">
      <w:start w:val="1"/>
      <w:numFmt w:val="decimal"/>
      <w:suff w:val="nothing"/>
      <w:lvlText w:val="（%1）"/>
      <w:lvlJc w:val="left"/>
    </w:lvl>
  </w:abstractNum>
  <w:abstractNum w:abstractNumId="1">
    <w:nsid w:val="8CCBE206"/>
    <w:multiLevelType w:val="singleLevel"/>
    <w:tmpl w:val="8CCBE206"/>
    <w:lvl w:ilvl="0" w:tentative="0">
      <w:start w:val="3"/>
      <w:numFmt w:val="decimal"/>
      <w:suff w:val="nothing"/>
      <w:lvlText w:val="%1、"/>
      <w:lvlJc w:val="left"/>
    </w:lvl>
  </w:abstractNum>
  <w:abstractNum w:abstractNumId="2">
    <w:nsid w:val="A7664BAD"/>
    <w:multiLevelType w:val="singleLevel"/>
    <w:tmpl w:val="A7664BAD"/>
    <w:lvl w:ilvl="0" w:tentative="0">
      <w:start w:val="1"/>
      <w:numFmt w:val="decimal"/>
      <w:suff w:val="nothing"/>
      <w:lvlText w:val="（%1）"/>
      <w:lvlJc w:val="left"/>
      <w:pPr>
        <w:ind w:left="32"/>
      </w:pPr>
    </w:lvl>
  </w:abstractNum>
  <w:abstractNum w:abstractNumId="3">
    <w:nsid w:val="B2E86726"/>
    <w:multiLevelType w:val="singleLevel"/>
    <w:tmpl w:val="B2E86726"/>
    <w:lvl w:ilvl="0" w:tentative="0">
      <w:start w:val="1"/>
      <w:numFmt w:val="decimal"/>
      <w:suff w:val="nothing"/>
      <w:lvlText w:val="%1、"/>
      <w:lvlJc w:val="left"/>
    </w:lvl>
  </w:abstractNum>
  <w:abstractNum w:abstractNumId="4">
    <w:nsid w:val="BF16B083"/>
    <w:multiLevelType w:val="singleLevel"/>
    <w:tmpl w:val="BF16B083"/>
    <w:lvl w:ilvl="0" w:tentative="0">
      <w:start w:val="1"/>
      <w:numFmt w:val="chineseCounting"/>
      <w:suff w:val="nothing"/>
      <w:lvlText w:val="%1、"/>
      <w:lvlJc w:val="left"/>
      <w:rPr>
        <w:rFonts w:hint="eastAsia"/>
      </w:rPr>
    </w:lvl>
  </w:abstractNum>
  <w:abstractNum w:abstractNumId="5">
    <w:nsid w:val="C7B895C9"/>
    <w:multiLevelType w:val="singleLevel"/>
    <w:tmpl w:val="C7B895C9"/>
    <w:lvl w:ilvl="0" w:tentative="0">
      <w:start w:val="6"/>
      <w:numFmt w:val="decimal"/>
      <w:suff w:val="nothing"/>
      <w:lvlText w:val="%1、"/>
      <w:lvlJc w:val="left"/>
    </w:lvl>
  </w:abstractNum>
  <w:abstractNum w:abstractNumId="6">
    <w:nsid w:val="CD2F3DEA"/>
    <w:multiLevelType w:val="singleLevel"/>
    <w:tmpl w:val="CD2F3DEA"/>
    <w:lvl w:ilvl="0" w:tentative="0">
      <w:start w:val="1"/>
      <w:numFmt w:val="decimal"/>
      <w:suff w:val="nothing"/>
      <w:lvlText w:val="%1）"/>
      <w:lvlJc w:val="left"/>
    </w:lvl>
  </w:abstractNum>
  <w:abstractNum w:abstractNumId="7">
    <w:nsid w:val="D0ACCC75"/>
    <w:multiLevelType w:val="singleLevel"/>
    <w:tmpl w:val="D0ACCC75"/>
    <w:lvl w:ilvl="0" w:tentative="0">
      <w:start w:val="5"/>
      <w:numFmt w:val="chineseCounting"/>
      <w:suff w:val="space"/>
      <w:lvlText w:val="第%1章"/>
      <w:lvlJc w:val="left"/>
      <w:rPr>
        <w:rFonts w:hint="eastAsia"/>
      </w:rPr>
    </w:lvl>
  </w:abstractNum>
  <w:abstractNum w:abstractNumId="8">
    <w:nsid w:val="D4ABCED3"/>
    <w:multiLevelType w:val="singleLevel"/>
    <w:tmpl w:val="D4ABCED3"/>
    <w:lvl w:ilvl="0" w:tentative="0">
      <w:start w:val="2"/>
      <w:numFmt w:val="decimal"/>
      <w:lvlText w:val="%1."/>
      <w:lvlJc w:val="left"/>
      <w:pPr>
        <w:tabs>
          <w:tab w:val="left" w:pos="312"/>
        </w:tabs>
      </w:pPr>
    </w:lvl>
  </w:abstractNum>
  <w:abstractNum w:abstractNumId="9">
    <w:nsid w:val="00000010"/>
    <w:multiLevelType w:val="multilevel"/>
    <w:tmpl w:val="00000010"/>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10">
    <w:nsid w:val="03A1749A"/>
    <w:multiLevelType w:val="multilevel"/>
    <w:tmpl w:val="03A1749A"/>
    <w:lvl w:ilvl="0" w:tentative="0">
      <w:start w:val="1"/>
      <w:numFmt w:val="decimal"/>
      <w:lvlText w:val="（%1）"/>
      <w:lvlJc w:val="left"/>
      <w:pPr>
        <w:ind w:left="1504" w:hanging="525"/>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392" w:hanging="525"/>
      </w:pPr>
      <w:rPr>
        <w:rFonts w:hint="default"/>
        <w:lang w:val="en-US" w:eastAsia="zh-CN" w:bidi="ar-SA"/>
      </w:rPr>
    </w:lvl>
    <w:lvl w:ilvl="2" w:tentative="0">
      <w:start w:val="0"/>
      <w:numFmt w:val="bullet"/>
      <w:lvlText w:val="•"/>
      <w:lvlJc w:val="left"/>
      <w:pPr>
        <w:ind w:left="3285" w:hanging="525"/>
      </w:pPr>
      <w:rPr>
        <w:rFonts w:hint="default"/>
        <w:lang w:val="en-US" w:eastAsia="zh-CN" w:bidi="ar-SA"/>
      </w:rPr>
    </w:lvl>
    <w:lvl w:ilvl="3" w:tentative="0">
      <w:start w:val="0"/>
      <w:numFmt w:val="bullet"/>
      <w:lvlText w:val="•"/>
      <w:lvlJc w:val="left"/>
      <w:pPr>
        <w:ind w:left="4177" w:hanging="525"/>
      </w:pPr>
      <w:rPr>
        <w:rFonts w:hint="default"/>
        <w:lang w:val="en-US" w:eastAsia="zh-CN" w:bidi="ar-SA"/>
      </w:rPr>
    </w:lvl>
    <w:lvl w:ilvl="4" w:tentative="0">
      <w:start w:val="0"/>
      <w:numFmt w:val="bullet"/>
      <w:lvlText w:val="•"/>
      <w:lvlJc w:val="left"/>
      <w:pPr>
        <w:ind w:left="5070" w:hanging="525"/>
      </w:pPr>
      <w:rPr>
        <w:rFonts w:hint="default"/>
        <w:lang w:val="en-US" w:eastAsia="zh-CN" w:bidi="ar-SA"/>
      </w:rPr>
    </w:lvl>
    <w:lvl w:ilvl="5" w:tentative="0">
      <w:start w:val="0"/>
      <w:numFmt w:val="bullet"/>
      <w:lvlText w:val="•"/>
      <w:lvlJc w:val="left"/>
      <w:pPr>
        <w:ind w:left="5963" w:hanging="525"/>
      </w:pPr>
      <w:rPr>
        <w:rFonts w:hint="default"/>
        <w:lang w:val="en-US" w:eastAsia="zh-CN" w:bidi="ar-SA"/>
      </w:rPr>
    </w:lvl>
    <w:lvl w:ilvl="6" w:tentative="0">
      <w:start w:val="0"/>
      <w:numFmt w:val="bullet"/>
      <w:lvlText w:val="•"/>
      <w:lvlJc w:val="left"/>
      <w:pPr>
        <w:ind w:left="6855" w:hanging="525"/>
      </w:pPr>
      <w:rPr>
        <w:rFonts w:hint="default"/>
        <w:lang w:val="en-US" w:eastAsia="zh-CN" w:bidi="ar-SA"/>
      </w:rPr>
    </w:lvl>
    <w:lvl w:ilvl="7" w:tentative="0">
      <w:start w:val="0"/>
      <w:numFmt w:val="bullet"/>
      <w:lvlText w:val="•"/>
      <w:lvlJc w:val="left"/>
      <w:pPr>
        <w:ind w:left="7748" w:hanging="525"/>
      </w:pPr>
      <w:rPr>
        <w:rFonts w:hint="default"/>
        <w:lang w:val="en-US" w:eastAsia="zh-CN" w:bidi="ar-SA"/>
      </w:rPr>
    </w:lvl>
    <w:lvl w:ilvl="8" w:tentative="0">
      <w:start w:val="0"/>
      <w:numFmt w:val="bullet"/>
      <w:lvlText w:val="•"/>
      <w:lvlJc w:val="left"/>
      <w:pPr>
        <w:ind w:left="8640" w:hanging="525"/>
      </w:pPr>
      <w:rPr>
        <w:rFonts w:hint="default"/>
        <w:lang w:val="en-US" w:eastAsia="zh-CN" w:bidi="ar-SA"/>
      </w:rPr>
    </w:lvl>
  </w:abstractNum>
  <w:abstractNum w:abstractNumId="11">
    <w:nsid w:val="10FD64B1"/>
    <w:multiLevelType w:val="multilevel"/>
    <w:tmpl w:val="10FD64B1"/>
    <w:lvl w:ilvl="0" w:tentative="0">
      <w:start w:val="1"/>
      <w:numFmt w:val="decimal"/>
      <w:lvlText w:val="（%1）"/>
      <w:lvlJc w:val="left"/>
      <w:pPr>
        <w:ind w:left="1504" w:hanging="525"/>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392" w:hanging="525"/>
      </w:pPr>
      <w:rPr>
        <w:rFonts w:hint="default"/>
        <w:lang w:val="en-US" w:eastAsia="zh-CN" w:bidi="ar-SA"/>
      </w:rPr>
    </w:lvl>
    <w:lvl w:ilvl="2" w:tentative="0">
      <w:start w:val="0"/>
      <w:numFmt w:val="bullet"/>
      <w:lvlText w:val="•"/>
      <w:lvlJc w:val="left"/>
      <w:pPr>
        <w:ind w:left="3285" w:hanging="525"/>
      </w:pPr>
      <w:rPr>
        <w:rFonts w:hint="default"/>
        <w:lang w:val="en-US" w:eastAsia="zh-CN" w:bidi="ar-SA"/>
      </w:rPr>
    </w:lvl>
    <w:lvl w:ilvl="3" w:tentative="0">
      <w:start w:val="0"/>
      <w:numFmt w:val="bullet"/>
      <w:lvlText w:val="•"/>
      <w:lvlJc w:val="left"/>
      <w:pPr>
        <w:ind w:left="4177" w:hanging="525"/>
      </w:pPr>
      <w:rPr>
        <w:rFonts w:hint="default"/>
        <w:lang w:val="en-US" w:eastAsia="zh-CN" w:bidi="ar-SA"/>
      </w:rPr>
    </w:lvl>
    <w:lvl w:ilvl="4" w:tentative="0">
      <w:start w:val="0"/>
      <w:numFmt w:val="bullet"/>
      <w:lvlText w:val="•"/>
      <w:lvlJc w:val="left"/>
      <w:pPr>
        <w:ind w:left="5070" w:hanging="525"/>
      </w:pPr>
      <w:rPr>
        <w:rFonts w:hint="default"/>
        <w:lang w:val="en-US" w:eastAsia="zh-CN" w:bidi="ar-SA"/>
      </w:rPr>
    </w:lvl>
    <w:lvl w:ilvl="5" w:tentative="0">
      <w:start w:val="0"/>
      <w:numFmt w:val="bullet"/>
      <w:lvlText w:val="•"/>
      <w:lvlJc w:val="left"/>
      <w:pPr>
        <w:ind w:left="5963" w:hanging="525"/>
      </w:pPr>
      <w:rPr>
        <w:rFonts w:hint="default"/>
        <w:lang w:val="en-US" w:eastAsia="zh-CN" w:bidi="ar-SA"/>
      </w:rPr>
    </w:lvl>
    <w:lvl w:ilvl="6" w:tentative="0">
      <w:start w:val="0"/>
      <w:numFmt w:val="bullet"/>
      <w:lvlText w:val="•"/>
      <w:lvlJc w:val="left"/>
      <w:pPr>
        <w:ind w:left="6855" w:hanging="525"/>
      </w:pPr>
      <w:rPr>
        <w:rFonts w:hint="default"/>
        <w:lang w:val="en-US" w:eastAsia="zh-CN" w:bidi="ar-SA"/>
      </w:rPr>
    </w:lvl>
    <w:lvl w:ilvl="7" w:tentative="0">
      <w:start w:val="0"/>
      <w:numFmt w:val="bullet"/>
      <w:lvlText w:val="•"/>
      <w:lvlJc w:val="left"/>
      <w:pPr>
        <w:ind w:left="7748" w:hanging="525"/>
      </w:pPr>
      <w:rPr>
        <w:rFonts w:hint="default"/>
        <w:lang w:val="en-US" w:eastAsia="zh-CN" w:bidi="ar-SA"/>
      </w:rPr>
    </w:lvl>
    <w:lvl w:ilvl="8" w:tentative="0">
      <w:start w:val="0"/>
      <w:numFmt w:val="bullet"/>
      <w:lvlText w:val="•"/>
      <w:lvlJc w:val="left"/>
      <w:pPr>
        <w:ind w:left="8640" w:hanging="525"/>
      </w:pPr>
      <w:rPr>
        <w:rFonts w:hint="default"/>
        <w:lang w:val="en-US" w:eastAsia="zh-CN" w:bidi="ar-SA"/>
      </w:rPr>
    </w:lvl>
  </w:abstractNum>
  <w:abstractNum w:abstractNumId="12">
    <w:nsid w:val="181448A7"/>
    <w:multiLevelType w:val="singleLevel"/>
    <w:tmpl w:val="181448A7"/>
    <w:lvl w:ilvl="0" w:tentative="0">
      <w:start w:val="4"/>
      <w:numFmt w:val="chineseCounting"/>
      <w:suff w:val="nothing"/>
      <w:lvlText w:val="%1、"/>
      <w:lvlJc w:val="left"/>
      <w:rPr>
        <w:rFonts w:hint="eastAsia"/>
      </w:rPr>
    </w:lvl>
  </w:abstractNum>
  <w:abstractNum w:abstractNumId="13">
    <w:nsid w:val="1D5EAF9A"/>
    <w:multiLevelType w:val="singleLevel"/>
    <w:tmpl w:val="1D5EAF9A"/>
    <w:lvl w:ilvl="0" w:tentative="0">
      <w:start w:val="1"/>
      <w:numFmt w:val="chineseCounting"/>
      <w:suff w:val="space"/>
      <w:lvlText w:val="%1、"/>
      <w:lvlJc w:val="left"/>
      <w:rPr>
        <w:rFonts w:hint="eastAsia"/>
      </w:rPr>
    </w:lvl>
  </w:abstractNum>
  <w:abstractNum w:abstractNumId="14">
    <w:nsid w:val="211275DF"/>
    <w:multiLevelType w:val="multilevel"/>
    <w:tmpl w:val="211275DF"/>
    <w:lvl w:ilvl="0" w:tentative="0">
      <w:start w:val="1"/>
      <w:numFmt w:val="decimal"/>
      <w:lvlText w:val="（%1）"/>
      <w:lvlJc w:val="left"/>
      <w:pPr>
        <w:ind w:left="1504" w:hanging="525"/>
      </w:pPr>
      <w:rPr>
        <w:rFonts w:hint="default" w:ascii="宋体" w:hAnsi="宋体" w:eastAsia="宋体" w:cs="宋体"/>
        <w:color w:val="000000" w:themeColor="text1"/>
        <w:spacing w:val="-1"/>
        <w:w w:val="99"/>
        <w:sz w:val="19"/>
        <w:szCs w:val="19"/>
        <w:lang w:val="en-US" w:eastAsia="zh-CN" w:bidi="ar-SA"/>
        <w14:textFill>
          <w14:solidFill>
            <w14:schemeClr w14:val="tx1"/>
          </w14:solidFill>
        </w14:textFill>
      </w:rPr>
    </w:lvl>
    <w:lvl w:ilvl="1" w:tentative="0">
      <w:start w:val="0"/>
      <w:numFmt w:val="bullet"/>
      <w:lvlText w:val="•"/>
      <w:lvlJc w:val="left"/>
      <w:pPr>
        <w:ind w:left="2392" w:hanging="525"/>
      </w:pPr>
      <w:rPr>
        <w:rFonts w:hint="default"/>
        <w:lang w:val="en-US" w:eastAsia="zh-CN" w:bidi="ar-SA"/>
      </w:rPr>
    </w:lvl>
    <w:lvl w:ilvl="2" w:tentative="0">
      <w:start w:val="0"/>
      <w:numFmt w:val="bullet"/>
      <w:lvlText w:val="•"/>
      <w:lvlJc w:val="left"/>
      <w:pPr>
        <w:ind w:left="3285" w:hanging="525"/>
      </w:pPr>
      <w:rPr>
        <w:rFonts w:hint="default"/>
        <w:lang w:val="en-US" w:eastAsia="zh-CN" w:bidi="ar-SA"/>
      </w:rPr>
    </w:lvl>
    <w:lvl w:ilvl="3" w:tentative="0">
      <w:start w:val="0"/>
      <w:numFmt w:val="bullet"/>
      <w:lvlText w:val="•"/>
      <w:lvlJc w:val="left"/>
      <w:pPr>
        <w:ind w:left="4177" w:hanging="525"/>
      </w:pPr>
      <w:rPr>
        <w:rFonts w:hint="default"/>
        <w:lang w:val="en-US" w:eastAsia="zh-CN" w:bidi="ar-SA"/>
      </w:rPr>
    </w:lvl>
    <w:lvl w:ilvl="4" w:tentative="0">
      <w:start w:val="0"/>
      <w:numFmt w:val="bullet"/>
      <w:lvlText w:val="•"/>
      <w:lvlJc w:val="left"/>
      <w:pPr>
        <w:ind w:left="5070" w:hanging="525"/>
      </w:pPr>
      <w:rPr>
        <w:rFonts w:hint="default"/>
        <w:lang w:val="en-US" w:eastAsia="zh-CN" w:bidi="ar-SA"/>
      </w:rPr>
    </w:lvl>
    <w:lvl w:ilvl="5" w:tentative="0">
      <w:start w:val="0"/>
      <w:numFmt w:val="bullet"/>
      <w:lvlText w:val="•"/>
      <w:lvlJc w:val="left"/>
      <w:pPr>
        <w:ind w:left="5963" w:hanging="525"/>
      </w:pPr>
      <w:rPr>
        <w:rFonts w:hint="default"/>
        <w:lang w:val="en-US" w:eastAsia="zh-CN" w:bidi="ar-SA"/>
      </w:rPr>
    </w:lvl>
    <w:lvl w:ilvl="6" w:tentative="0">
      <w:start w:val="0"/>
      <w:numFmt w:val="bullet"/>
      <w:lvlText w:val="•"/>
      <w:lvlJc w:val="left"/>
      <w:pPr>
        <w:ind w:left="6855" w:hanging="525"/>
      </w:pPr>
      <w:rPr>
        <w:rFonts w:hint="default"/>
        <w:lang w:val="en-US" w:eastAsia="zh-CN" w:bidi="ar-SA"/>
      </w:rPr>
    </w:lvl>
    <w:lvl w:ilvl="7" w:tentative="0">
      <w:start w:val="0"/>
      <w:numFmt w:val="bullet"/>
      <w:lvlText w:val="•"/>
      <w:lvlJc w:val="left"/>
      <w:pPr>
        <w:ind w:left="7748" w:hanging="525"/>
      </w:pPr>
      <w:rPr>
        <w:rFonts w:hint="default"/>
        <w:lang w:val="en-US" w:eastAsia="zh-CN" w:bidi="ar-SA"/>
      </w:rPr>
    </w:lvl>
    <w:lvl w:ilvl="8" w:tentative="0">
      <w:start w:val="0"/>
      <w:numFmt w:val="bullet"/>
      <w:lvlText w:val="•"/>
      <w:lvlJc w:val="left"/>
      <w:pPr>
        <w:ind w:left="8640" w:hanging="525"/>
      </w:pPr>
      <w:rPr>
        <w:rFonts w:hint="default"/>
        <w:lang w:val="en-US" w:eastAsia="zh-CN" w:bidi="ar-SA"/>
      </w:rPr>
    </w:lvl>
  </w:abstractNum>
  <w:abstractNum w:abstractNumId="15">
    <w:nsid w:val="21AE42EB"/>
    <w:multiLevelType w:val="multilevel"/>
    <w:tmpl w:val="21AE42EB"/>
    <w:lvl w:ilvl="0" w:tentative="0">
      <w:start w:val="1"/>
      <w:numFmt w:val="decimal"/>
      <w:lvlText w:val="（%1）"/>
      <w:lvlJc w:val="left"/>
      <w:pPr>
        <w:ind w:left="560" w:hanging="518"/>
      </w:pPr>
      <w:rPr>
        <w:rFonts w:hint="default" w:ascii="宋体" w:hAnsi="宋体" w:eastAsia="宋体" w:cs="宋体"/>
        <w:spacing w:val="-8"/>
        <w:w w:val="99"/>
        <w:sz w:val="19"/>
        <w:szCs w:val="19"/>
        <w:lang w:val="en-US" w:eastAsia="zh-CN" w:bidi="ar-SA"/>
      </w:rPr>
    </w:lvl>
    <w:lvl w:ilvl="1" w:tentative="0">
      <w:start w:val="0"/>
      <w:numFmt w:val="bullet"/>
      <w:lvlText w:val="•"/>
      <w:lvlJc w:val="left"/>
      <w:pPr>
        <w:ind w:left="1546" w:hanging="518"/>
      </w:pPr>
      <w:rPr>
        <w:rFonts w:hint="default"/>
        <w:lang w:val="en-US" w:eastAsia="zh-CN" w:bidi="ar-SA"/>
      </w:rPr>
    </w:lvl>
    <w:lvl w:ilvl="2" w:tentative="0">
      <w:start w:val="0"/>
      <w:numFmt w:val="bullet"/>
      <w:lvlText w:val="•"/>
      <w:lvlJc w:val="left"/>
      <w:pPr>
        <w:ind w:left="2533" w:hanging="518"/>
      </w:pPr>
      <w:rPr>
        <w:rFonts w:hint="default"/>
        <w:lang w:val="en-US" w:eastAsia="zh-CN" w:bidi="ar-SA"/>
      </w:rPr>
    </w:lvl>
    <w:lvl w:ilvl="3" w:tentative="0">
      <w:start w:val="0"/>
      <w:numFmt w:val="bullet"/>
      <w:lvlText w:val="•"/>
      <w:lvlJc w:val="left"/>
      <w:pPr>
        <w:ind w:left="3519" w:hanging="518"/>
      </w:pPr>
      <w:rPr>
        <w:rFonts w:hint="default"/>
        <w:lang w:val="en-US" w:eastAsia="zh-CN" w:bidi="ar-SA"/>
      </w:rPr>
    </w:lvl>
    <w:lvl w:ilvl="4" w:tentative="0">
      <w:start w:val="0"/>
      <w:numFmt w:val="bullet"/>
      <w:lvlText w:val="•"/>
      <w:lvlJc w:val="left"/>
      <w:pPr>
        <w:ind w:left="4506" w:hanging="518"/>
      </w:pPr>
      <w:rPr>
        <w:rFonts w:hint="default"/>
        <w:lang w:val="en-US" w:eastAsia="zh-CN" w:bidi="ar-SA"/>
      </w:rPr>
    </w:lvl>
    <w:lvl w:ilvl="5" w:tentative="0">
      <w:start w:val="0"/>
      <w:numFmt w:val="bullet"/>
      <w:lvlText w:val="•"/>
      <w:lvlJc w:val="left"/>
      <w:pPr>
        <w:ind w:left="5493" w:hanging="518"/>
      </w:pPr>
      <w:rPr>
        <w:rFonts w:hint="default"/>
        <w:lang w:val="en-US" w:eastAsia="zh-CN" w:bidi="ar-SA"/>
      </w:rPr>
    </w:lvl>
    <w:lvl w:ilvl="6" w:tentative="0">
      <w:start w:val="0"/>
      <w:numFmt w:val="bullet"/>
      <w:lvlText w:val="•"/>
      <w:lvlJc w:val="left"/>
      <w:pPr>
        <w:ind w:left="6479" w:hanging="518"/>
      </w:pPr>
      <w:rPr>
        <w:rFonts w:hint="default"/>
        <w:lang w:val="en-US" w:eastAsia="zh-CN" w:bidi="ar-SA"/>
      </w:rPr>
    </w:lvl>
    <w:lvl w:ilvl="7" w:tentative="0">
      <w:start w:val="0"/>
      <w:numFmt w:val="bullet"/>
      <w:lvlText w:val="•"/>
      <w:lvlJc w:val="left"/>
      <w:pPr>
        <w:ind w:left="7466" w:hanging="518"/>
      </w:pPr>
      <w:rPr>
        <w:rFonts w:hint="default"/>
        <w:lang w:val="en-US" w:eastAsia="zh-CN" w:bidi="ar-SA"/>
      </w:rPr>
    </w:lvl>
    <w:lvl w:ilvl="8" w:tentative="0">
      <w:start w:val="0"/>
      <w:numFmt w:val="bullet"/>
      <w:lvlText w:val="•"/>
      <w:lvlJc w:val="left"/>
      <w:pPr>
        <w:ind w:left="8452" w:hanging="518"/>
      </w:pPr>
      <w:rPr>
        <w:rFonts w:hint="default"/>
        <w:lang w:val="en-US" w:eastAsia="zh-CN" w:bidi="ar-SA"/>
      </w:rPr>
    </w:lvl>
  </w:abstractNum>
  <w:abstractNum w:abstractNumId="16">
    <w:nsid w:val="2A1E75B0"/>
    <w:multiLevelType w:val="multilevel"/>
    <w:tmpl w:val="2A1E75B0"/>
    <w:lvl w:ilvl="0" w:tentative="0">
      <w:start w:val="1"/>
      <w:numFmt w:val="decimal"/>
      <w:lvlText w:val="%1."/>
      <w:lvlJc w:val="left"/>
      <w:pPr>
        <w:ind w:left="1191" w:hanging="212"/>
      </w:pPr>
      <w:rPr>
        <w:rFonts w:hint="default" w:ascii="宋体" w:hAnsi="宋体" w:eastAsia="宋体" w:cs="宋体"/>
        <w:spacing w:val="-2"/>
        <w:w w:val="99"/>
        <w:sz w:val="19"/>
        <w:szCs w:val="19"/>
        <w:lang w:val="en-US" w:eastAsia="zh-CN" w:bidi="ar-SA"/>
      </w:rPr>
    </w:lvl>
    <w:lvl w:ilvl="1" w:tentative="0">
      <w:start w:val="0"/>
      <w:numFmt w:val="bullet"/>
      <w:lvlText w:val="•"/>
      <w:lvlJc w:val="left"/>
      <w:pPr>
        <w:ind w:left="2122" w:hanging="212"/>
      </w:pPr>
      <w:rPr>
        <w:rFonts w:hint="default"/>
        <w:lang w:val="en-US" w:eastAsia="zh-CN" w:bidi="ar-SA"/>
      </w:rPr>
    </w:lvl>
    <w:lvl w:ilvl="2" w:tentative="0">
      <w:start w:val="0"/>
      <w:numFmt w:val="bullet"/>
      <w:lvlText w:val="•"/>
      <w:lvlJc w:val="left"/>
      <w:pPr>
        <w:ind w:left="3045" w:hanging="212"/>
      </w:pPr>
      <w:rPr>
        <w:rFonts w:hint="default"/>
        <w:lang w:val="en-US" w:eastAsia="zh-CN" w:bidi="ar-SA"/>
      </w:rPr>
    </w:lvl>
    <w:lvl w:ilvl="3" w:tentative="0">
      <w:start w:val="0"/>
      <w:numFmt w:val="bullet"/>
      <w:lvlText w:val="•"/>
      <w:lvlJc w:val="left"/>
      <w:pPr>
        <w:ind w:left="3967" w:hanging="212"/>
      </w:pPr>
      <w:rPr>
        <w:rFonts w:hint="default"/>
        <w:lang w:val="en-US" w:eastAsia="zh-CN" w:bidi="ar-SA"/>
      </w:rPr>
    </w:lvl>
    <w:lvl w:ilvl="4" w:tentative="0">
      <w:start w:val="0"/>
      <w:numFmt w:val="bullet"/>
      <w:lvlText w:val="•"/>
      <w:lvlJc w:val="left"/>
      <w:pPr>
        <w:ind w:left="4890" w:hanging="212"/>
      </w:pPr>
      <w:rPr>
        <w:rFonts w:hint="default"/>
        <w:lang w:val="en-US" w:eastAsia="zh-CN" w:bidi="ar-SA"/>
      </w:rPr>
    </w:lvl>
    <w:lvl w:ilvl="5" w:tentative="0">
      <w:start w:val="0"/>
      <w:numFmt w:val="bullet"/>
      <w:lvlText w:val="•"/>
      <w:lvlJc w:val="left"/>
      <w:pPr>
        <w:ind w:left="5813" w:hanging="212"/>
      </w:pPr>
      <w:rPr>
        <w:rFonts w:hint="default"/>
        <w:lang w:val="en-US" w:eastAsia="zh-CN" w:bidi="ar-SA"/>
      </w:rPr>
    </w:lvl>
    <w:lvl w:ilvl="6" w:tentative="0">
      <w:start w:val="0"/>
      <w:numFmt w:val="bullet"/>
      <w:lvlText w:val="•"/>
      <w:lvlJc w:val="left"/>
      <w:pPr>
        <w:ind w:left="6735" w:hanging="212"/>
      </w:pPr>
      <w:rPr>
        <w:rFonts w:hint="default"/>
        <w:lang w:val="en-US" w:eastAsia="zh-CN" w:bidi="ar-SA"/>
      </w:rPr>
    </w:lvl>
    <w:lvl w:ilvl="7" w:tentative="0">
      <w:start w:val="0"/>
      <w:numFmt w:val="bullet"/>
      <w:lvlText w:val="•"/>
      <w:lvlJc w:val="left"/>
      <w:pPr>
        <w:ind w:left="7658" w:hanging="212"/>
      </w:pPr>
      <w:rPr>
        <w:rFonts w:hint="default"/>
        <w:lang w:val="en-US" w:eastAsia="zh-CN" w:bidi="ar-SA"/>
      </w:rPr>
    </w:lvl>
    <w:lvl w:ilvl="8" w:tentative="0">
      <w:start w:val="0"/>
      <w:numFmt w:val="bullet"/>
      <w:lvlText w:val="•"/>
      <w:lvlJc w:val="left"/>
      <w:pPr>
        <w:ind w:left="8580" w:hanging="212"/>
      </w:pPr>
      <w:rPr>
        <w:rFonts w:hint="default"/>
        <w:lang w:val="en-US" w:eastAsia="zh-CN" w:bidi="ar-SA"/>
      </w:rPr>
    </w:lvl>
  </w:abstractNum>
  <w:abstractNum w:abstractNumId="17">
    <w:nsid w:val="3C4BCE0A"/>
    <w:multiLevelType w:val="singleLevel"/>
    <w:tmpl w:val="3C4BCE0A"/>
    <w:lvl w:ilvl="0" w:tentative="0">
      <w:start w:val="1"/>
      <w:numFmt w:val="decimal"/>
      <w:pStyle w:val="8"/>
      <w:lvlText w:val="%1."/>
      <w:lvlJc w:val="left"/>
      <w:pPr>
        <w:tabs>
          <w:tab w:val="left" w:pos="780"/>
        </w:tabs>
        <w:ind w:left="780" w:hanging="360"/>
      </w:pPr>
      <w:rPr>
        <w:rFonts w:hint="default"/>
        <w:highlight w:val="yellow"/>
      </w:rPr>
    </w:lvl>
  </w:abstractNum>
  <w:abstractNum w:abstractNumId="18">
    <w:nsid w:val="3F881563"/>
    <w:multiLevelType w:val="multilevel"/>
    <w:tmpl w:val="3F881563"/>
    <w:lvl w:ilvl="0" w:tentative="0">
      <w:start w:val="1"/>
      <w:numFmt w:val="decimal"/>
      <w:lvlText w:val="（%1）"/>
      <w:lvlJc w:val="left"/>
      <w:pPr>
        <w:ind w:left="1444" w:hanging="525"/>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338" w:hanging="525"/>
      </w:pPr>
      <w:rPr>
        <w:rFonts w:hint="default"/>
        <w:lang w:val="en-US" w:eastAsia="zh-CN" w:bidi="ar-SA"/>
      </w:rPr>
    </w:lvl>
    <w:lvl w:ilvl="2" w:tentative="0">
      <w:start w:val="0"/>
      <w:numFmt w:val="bullet"/>
      <w:lvlText w:val="•"/>
      <w:lvlJc w:val="left"/>
      <w:pPr>
        <w:ind w:left="3237" w:hanging="525"/>
      </w:pPr>
      <w:rPr>
        <w:rFonts w:hint="default"/>
        <w:lang w:val="en-US" w:eastAsia="zh-CN" w:bidi="ar-SA"/>
      </w:rPr>
    </w:lvl>
    <w:lvl w:ilvl="3" w:tentative="0">
      <w:start w:val="0"/>
      <w:numFmt w:val="bullet"/>
      <w:lvlText w:val="•"/>
      <w:lvlJc w:val="left"/>
      <w:pPr>
        <w:ind w:left="4135" w:hanging="525"/>
      </w:pPr>
      <w:rPr>
        <w:rFonts w:hint="default"/>
        <w:lang w:val="en-US" w:eastAsia="zh-CN" w:bidi="ar-SA"/>
      </w:rPr>
    </w:lvl>
    <w:lvl w:ilvl="4" w:tentative="0">
      <w:start w:val="0"/>
      <w:numFmt w:val="bullet"/>
      <w:lvlText w:val="•"/>
      <w:lvlJc w:val="left"/>
      <w:pPr>
        <w:ind w:left="5034" w:hanging="525"/>
      </w:pPr>
      <w:rPr>
        <w:rFonts w:hint="default"/>
        <w:lang w:val="en-US" w:eastAsia="zh-CN" w:bidi="ar-SA"/>
      </w:rPr>
    </w:lvl>
    <w:lvl w:ilvl="5" w:tentative="0">
      <w:start w:val="0"/>
      <w:numFmt w:val="bullet"/>
      <w:lvlText w:val="•"/>
      <w:lvlJc w:val="left"/>
      <w:pPr>
        <w:ind w:left="5933" w:hanging="525"/>
      </w:pPr>
      <w:rPr>
        <w:rFonts w:hint="default"/>
        <w:lang w:val="en-US" w:eastAsia="zh-CN" w:bidi="ar-SA"/>
      </w:rPr>
    </w:lvl>
    <w:lvl w:ilvl="6" w:tentative="0">
      <w:start w:val="0"/>
      <w:numFmt w:val="bullet"/>
      <w:lvlText w:val="•"/>
      <w:lvlJc w:val="left"/>
      <w:pPr>
        <w:ind w:left="6831" w:hanging="525"/>
      </w:pPr>
      <w:rPr>
        <w:rFonts w:hint="default"/>
        <w:lang w:val="en-US" w:eastAsia="zh-CN" w:bidi="ar-SA"/>
      </w:rPr>
    </w:lvl>
    <w:lvl w:ilvl="7" w:tentative="0">
      <w:start w:val="0"/>
      <w:numFmt w:val="bullet"/>
      <w:lvlText w:val="•"/>
      <w:lvlJc w:val="left"/>
      <w:pPr>
        <w:ind w:left="7730" w:hanging="525"/>
      </w:pPr>
      <w:rPr>
        <w:rFonts w:hint="default"/>
        <w:lang w:val="en-US" w:eastAsia="zh-CN" w:bidi="ar-SA"/>
      </w:rPr>
    </w:lvl>
    <w:lvl w:ilvl="8" w:tentative="0">
      <w:start w:val="0"/>
      <w:numFmt w:val="bullet"/>
      <w:lvlText w:val="•"/>
      <w:lvlJc w:val="left"/>
      <w:pPr>
        <w:ind w:left="8628" w:hanging="525"/>
      </w:pPr>
      <w:rPr>
        <w:rFonts w:hint="default"/>
        <w:lang w:val="en-US" w:eastAsia="zh-CN" w:bidi="ar-SA"/>
      </w:rPr>
    </w:lvl>
  </w:abstractNum>
  <w:abstractNum w:abstractNumId="19">
    <w:nsid w:val="42C53A05"/>
    <w:multiLevelType w:val="multilevel"/>
    <w:tmpl w:val="42C53A05"/>
    <w:lvl w:ilvl="0" w:tentative="0">
      <w:start w:val="1"/>
      <w:numFmt w:val="decimal"/>
      <w:lvlText w:val="（%1）"/>
      <w:lvlJc w:val="left"/>
      <w:pPr>
        <w:ind w:left="1504" w:hanging="525"/>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392" w:hanging="525"/>
      </w:pPr>
      <w:rPr>
        <w:rFonts w:hint="default"/>
        <w:lang w:val="en-US" w:eastAsia="zh-CN" w:bidi="ar-SA"/>
      </w:rPr>
    </w:lvl>
    <w:lvl w:ilvl="2" w:tentative="0">
      <w:start w:val="0"/>
      <w:numFmt w:val="bullet"/>
      <w:lvlText w:val="•"/>
      <w:lvlJc w:val="left"/>
      <w:pPr>
        <w:ind w:left="3285" w:hanging="525"/>
      </w:pPr>
      <w:rPr>
        <w:rFonts w:hint="default"/>
        <w:lang w:val="en-US" w:eastAsia="zh-CN" w:bidi="ar-SA"/>
      </w:rPr>
    </w:lvl>
    <w:lvl w:ilvl="3" w:tentative="0">
      <w:start w:val="0"/>
      <w:numFmt w:val="bullet"/>
      <w:lvlText w:val="•"/>
      <w:lvlJc w:val="left"/>
      <w:pPr>
        <w:ind w:left="4177" w:hanging="525"/>
      </w:pPr>
      <w:rPr>
        <w:rFonts w:hint="default"/>
        <w:lang w:val="en-US" w:eastAsia="zh-CN" w:bidi="ar-SA"/>
      </w:rPr>
    </w:lvl>
    <w:lvl w:ilvl="4" w:tentative="0">
      <w:start w:val="0"/>
      <w:numFmt w:val="bullet"/>
      <w:lvlText w:val="•"/>
      <w:lvlJc w:val="left"/>
      <w:pPr>
        <w:ind w:left="5070" w:hanging="525"/>
      </w:pPr>
      <w:rPr>
        <w:rFonts w:hint="default"/>
        <w:lang w:val="en-US" w:eastAsia="zh-CN" w:bidi="ar-SA"/>
      </w:rPr>
    </w:lvl>
    <w:lvl w:ilvl="5" w:tentative="0">
      <w:start w:val="0"/>
      <w:numFmt w:val="bullet"/>
      <w:lvlText w:val="•"/>
      <w:lvlJc w:val="left"/>
      <w:pPr>
        <w:ind w:left="5963" w:hanging="525"/>
      </w:pPr>
      <w:rPr>
        <w:rFonts w:hint="default"/>
        <w:lang w:val="en-US" w:eastAsia="zh-CN" w:bidi="ar-SA"/>
      </w:rPr>
    </w:lvl>
    <w:lvl w:ilvl="6" w:tentative="0">
      <w:start w:val="0"/>
      <w:numFmt w:val="bullet"/>
      <w:lvlText w:val="•"/>
      <w:lvlJc w:val="left"/>
      <w:pPr>
        <w:ind w:left="6855" w:hanging="525"/>
      </w:pPr>
      <w:rPr>
        <w:rFonts w:hint="default"/>
        <w:lang w:val="en-US" w:eastAsia="zh-CN" w:bidi="ar-SA"/>
      </w:rPr>
    </w:lvl>
    <w:lvl w:ilvl="7" w:tentative="0">
      <w:start w:val="0"/>
      <w:numFmt w:val="bullet"/>
      <w:lvlText w:val="•"/>
      <w:lvlJc w:val="left"/>
      <w:pPr>
        <w:ind w:left="7748" w:hanging="525"/>
      </w:pPr>
      <w:rPr>
        <w:rFonts w:hint="default"/>
        <w:lang w:val="en-US" w:eastAsia="zh-CN" w:bidi="ar-SA"/>
      </w:rPr>
    </w:lvl>
    <w:lvl w:ilvl="8" w:tentative="0">
      <w:start w:val="0"/>
      <w:numFmt w:val="bullet"/>
      <w:lvlText w:val="•"/>
      <w:lvlJc w:val="left"/>
      <w:pPr>
        <w:ind w:left="8640" w:hanging="525"/>
      </w:pPr>
      <w:rPr>
        <w:rFonts w:hint="default"/>
        <w:lang w:val="en-US" w:eastAsia="zh-CN" w:bidi="ar-SA"/>
      </w:rPr>
    </w:lvl>
  </w:abstractNum>
  <w:abstractNum w:abstractNumId="20">
    <w:nsid w:val="5926DC24"/>
    <w:multiLevelType w:val="singleLevel"/>
    <w:tmpl w:val="5926DC24"/>
    <w:lvl w:ilvl="0" w:tentative="0">
      <w:start w:val="1"/>
      <w:numFmt w:val="decimal"/>
      <w:suff w:val="nothing"/>
      <w:lvlText w:val="%1、"/>
      <w:lvlJc w:val="left"/>
    </w:lvl>
  </w:abstractNum>
  <w:abstractNum w:abstractNumId="21">
    <w:nsid w:val="6079590A"/>
    <w:multiLevelType w:val="multilevel"/>
    <w:tmpl w:val="6079590A"/>
    <w:lvl w:ilvl="0" w:tentative="0">
      <w:start w:val="1"/>
      <w:numFmt w:val="decimal"/>
      <w:lvlText w:val="%1."/>
      <w:lvlJc w:val="left"/>
      <w:pPr>
        <w:ind w:left="910" w:hanging="351"/>
      </w:pPr>
      <w:rPr>
        <w:rFonts w:hint="default"/>
        <w:spacing w:val="0"/>
        <w:w w:val="100"/>
        <w:lang w:val="en-US" w:eastAsia="zh-CN" w:bidi="ar-SA"/>
      </w:rPr>
    </w:lvl>
    <w:lvl w:ilvl="1" w:tentative="0">
      <w:start w:val="1"/>
      <w:numFmt w:val="decimal"/>
      <w:lvlText w:val="%1.%2"/>
      <w:lvlJc w:val="left"/>
      <w:pPr>
        <w:ind w:left="859" w:hanging="420"/>
      </w:pPr>
      <w:rPr>
        <w:rFonts w:hint="default"/>
        <w:w w:val="100"/>
        <w:lang w:val="en-US" w:eastAsia="zh-CN" w:bidi="ar-SA"/>
      </w:rPr>
    </w:lvl>
    <w:lvl w:ilvl="2" w:tentative="0">
      <w:start w:val="1"/>
      <w:numFmt w:val="decimal"/>
      <w:lvlText w:val="%1.%2.%3"/>
      <w:lvlJc w:val="left"/>
      <w:pPr>
        <w:ind w:left="464" w:hanging="473"/>
      </w:pPr>
      <w:rPr>
        <w:rFonts w:hint="default"/>
        <w:spacing w:val="0"/>
        <w:w w:val="99"/>
        <w:lang w:val="en-US" w:eastAsia="zh-CN" w:bidi="ar-SA"/>
      </w:rPr>
    </w:lvl>
    <w:lvl w:ilvl="3" w:tentative="0">
      <w:start w:val="0"/>
      <w:numFmt w:val="bullet"/>
      <w:lvlText w:val="•"/>
      <w:lvlJc w:val="left"/>
      <w:pPr>
        <w:ind w:left="1460" w:hanging="473"/>
      </w:pPr>
      <w:rPr>
        <w:rFonts w:hint="default"/>
        <w:lang w:val="en-US" w:eastAsia="zh-CN" w:bidi="ar-SA"/>
      </w:rPr>
    </w:lvl>
    <w:lvl w:ilvl="4" w:tentative="0">
      <w:start w:val="0"/>
      <w:numFmt w:val="bullet"/>
      <w:lvlText w:val="•"/>
      <w:lvlJc w:val="left"/>
      <w:pPr>
        <w:ind w:left="1500" w:hanging="473"/>
      </w:pPr>
      <w:rPr>
        <w:rFonts w:hint="default"/>
        <w:lang w:val="en-US" w:eastAsia="zh-CN" w:bidi="ar-SA"/>
      </w:rPr>
    </w:lvl>
    <w:lvl w:ilvl="5" w:tentative="0">
      <w:start w:val="0"/>
      <w:numFmt w:val="bullet"/>
      <w:lvlText w:val="•"/>
      <w:lvlJc w:val="left"/>
      <w:pPr>
        <w:ind w:left="1600" w:hanging="473"/>
      </w:pPr>
      <w:rPr>
        <w:rFonts w:hint="default"/>
        <w:lang w:val="en-US" w:eastAsia="zh-CN" w:bidi="ar-SA"/>
      </w:rPr>
    </w:lvl>
    <w:lvl w:ilvl="6" w:tentative="0">
      <w:start w:val="0"/>
      <w:numFmt w:val="bullet"/>
      <w:lvlText w:val="•"/>
      <w:lvlJc w:val="left"/>
      <w:pPr>
        <w:ind w:left="3365" w:hanging="473"/>
      </w:pPr>
      <w:rPr>
        <w:rFonts w:hint="default"/>
        <w:lang w:val="en-US" w:eastAsia="zh-CN" w:bidi="ar-SA"/>
      </w:rPr>
    </w:lvl>
    <w:lvl w:ilvl="7" w:tentative="0">
      <w:start w:val="0"/>
      <w:numFmt w:val="bullet"/>
      <w:lvlText w:val="•"/>
      <w:lvlJc w:val="left"/>
      <w:pPr>
        <w:ind w:left="5130" w:hanging="473"/>
      </w:pPr>
      <w:rPr>
        <w:rFonts w:hint="default"/>
        <w:lang w:val="en-US" w:eastAsia="zh-CN" w:bidi="ar-SA"/>
      </w:rPr>
    </w:lvl>
    <w:lvl w:ilvl="8" w:tentative="0">
      <w:start w:val="0"/>
      <w:numFmt w:val="bullet"/>
      <w:lvlText w:val="•"/>
      <w:lvlJc w:val="left"/>
      <w:pPr>
        <w:ind w:left="6895" w:hanging="473"/>
      </w:pPr>
      <w:rPr>
        <w:rFonts w:hint="default"/>
        <w:lang w:val="en-US" w:eastAsia="zh-CN" w:bidi="ar-SA"/>
      </w:rPr>
    </w:lvl>
  </w:abstractNum>
  <w:abstractNum w:abstractNumId="22">
    <w:nsid w:val="61B9347E"/>
    <w:multiLevelType w:val="multilevel"/>
    <w:tmpl w:val="61B9347E"/>
    <w:lvl w:ilvl="0" w:tentative="0">
      <w:start w:val="1"/>
      <w:numFmt w:val="decimal"/>
      <w:lvlText w:val="（%1）"/>
      <w:lvlJc w:val="left"/>
      <w:pPr>
        <w:ind w:left="1504" w:hanging="525"/>
      </w:pPr>
      <w:rPr>
        <w:rFonts w:hint="default" w:ascii="宋体" w:hAnsi="宋体" w:eastAsia="宋体" w:cs="宋体"/>
        <w:spacing w:val="-1"/>
        <w:w w:val="99"/>
        <w:sz w:val="19"/>
        <w:szCs w:val="19"/>
        <w:lang w:val="en-US" w:eastAsia="zh-CN" w:bidi="ar-SA"/>
      </w:rPr>
    </w:lvl>
    <w:lvl w:ilvl="1" w:tentative="0">
      <w:start w:val="0"/>
      <w:numFmt w:val="bullet"/>
      <w:lvlText w:val="•"/>
      <w:lvlJc w:val="left"/>
      <w:pPr>
        <w:ind w:left="2392" w:hanging="525"/>
      </w:pPr>
      <w:rPr>
        <w:rFonts w:hint="default"/>
        <w:lang w:val="en-US" w:eastAsia="zh-CN" w:bidi="ar-SA"/>
      </w:rPr>
    </w:lvl>
    <w:lvl w:ilvl="2" w:tentative="0">
      <w:start w:val="0"/>
      <w:numFmt w:val="bullet"/>
      <w:lvlText w:val="•"/>
      <w:lvlJc w:val="left"/>
      <w:pPr>
        <w:ind w:left="3285" w:hanging="525"/>
      </w:pPr>
      <w:rPr>
        <w:rFonts w:hint="default"/>
        <w:lang w:val="en-US" w:eastAsia="zh-CN" w:bidi="ar-SA"/>
      </w:rPr>
    </w:lvl>
    <w:lvl w:ilvl="3" w:tentative="0">
      <w:start w:val="0"/>
      <w:numFmt w:val="bullet"/>
      <w:lvlText w:val="•"/>
      <w:lvlJc w:val="left"/>
      <w:pPr>
        <w:ind w:left="4177" w:hanging="525"/>
      </w:pPr>
      <w:rPr>
        <w:rFonts w:hint="default"/>
        <w:lang w:val="en-US" w:eastAsia="zh-CN" w:bidi="ar-SA"/>
      </w:rPr>
    </w:lvl>
    <w:lvl w:ilvl="4" w:tentative="0">
      <w:start w:val="0"/>
      <w:numFmt w:val="bullet"/>
      <w:lvlText w:val="•"/>
      <w:lvlJc w:val="left"/>
      <w:pPr>
        <w:ind w:left="5070" w:hanging="525"/>
      </w:pPr>
      <w:rPr>
        <w:rFonts w:hint="default"/>
        <w:lang w:val="en-US" w:eastAsia="zh-CN" w:bidi="ar-SA"/>
      </w:rPr>
    </w:lvl>
    <w:lvl w:ilvl="5" w:tentative="0">
      <w:start w:val="0"/>
      <w:numFmt w:val="bullet"/>
      <w:lvlText w:val="•"/>
      <w:lvlJc w:val="left"/>
      <w:pPr>
        <w:ind w:left="5963" w:hanging="525"/>
      </w:pPr>
      <w:rPr>
        <w:rFonts w:hint="default"/>
        <w:lang w:val="en-US" w:eastAsia="zh-CN" w:bidi="ar-SA"/>
      </w:rPr>
    </w:lvl>
    <w:lvl w:ilvl="6" w:tentative="0">
      <w:start w:val="0"/>
      <w:numFmt w:val="bullet"/>
      <w:lvlText w:val="•"/>
      <w:lvlJc w:val="left"/>
      <w:pPr>
        <w:ind w:left="6855" w:hanging="525"/>
      </w:pPr>
      <w:rPr>
        <w:rFonts w:hint="default"/>
        <w:lang w:val="en-US" w:eastAsia="zh-CN" w:bidi="ar-SA"/>
      </w:rPr>
    </w:lvl>
    <w:lvl w:ilvl="7" w:tentative="0">
      <w:start w:val="0"/>
      <w:numFmt w:val="bullet"/>
      <w:lvlText w:val="•"/>
      <w:lvlJc w:val="left"/>
      <w:pPr>
        <w:ind w:left="7748" w:hanging="525"/>
      </w:pPr>
      <w:rPr>
        <w:rFonts w:hint="default"/>
        <w:lang w:val="en-US" w:eastAsia="zh-CN" w:bidi="ar-SA"/>
      </w:rPr>
    </w:lvl>
    <w:lvl w:ilvl="8" w:tentative="0">
      <w:start w:val="0"/>
      <w:numFmt w:val="bullet"/>
      <w:lvlText w:val="•"/>
      <w:lvlJc w:val="left"/>
      <w:pPr>
        <w:ind w:left="8640" w:hanging="525"/>
      </w:pPr>
      <w:rPr>
        <w:rFonts w:hint="default"/>
        <w:lang w:val="en-US" w:eastAsia="zh-CN" w:bidi="ar-SA"/>
      </w:rPr>
    </w:lvl>
  </w:abstractNum>
  <w:abstractNum w:abstractNumId="23">
    <w:nsid w:val="7E5E225F"/>
    <w:multiLevelType w:val="multilevel"/>
    <w:tmpl w:val="7E5E225F"/>
    <w:lvl w:ilvl="0" w:tentative="0">
      <w:start w:val="1"/>
      <w:numFmt w:val="decimal"/>
      <w:lvlText w:val="%1."/>
      <w:lvlJc w:val="left"/>
      <w:pPr>
        <w:ind w:left="801" w:hanging="241"/>
      </w:pPr>
      <w:rPr>
        <w:rFonts w:hint="default" w:ascii="宋体" w:hAnsi="宋体" w:eastAsia="宋体" w:cs="宋体"/>
        <w:w w:val="100"/>
        <w:sz w:val="22"/>
        <w:szCs w:val="22"/>
        <w:lang w:val="en-US" w:eastAsia="zh-CN" w:bidi="ar-SA"/>
      </w:rPr>
    </w:lvl>
    <w:lvl w:ilvl="1" w:tentative="0">
      <w:start w:val="1"/>
      <w:numFmt w:val="decimal"/>
      <w:lvlText w:val="%1.%2"/>
      <w:lvlJc w:val="left"/>
      <w:pPr>
        <w:ind w:left="1347" w:hanging="368"/>
      </w:pPr>
      <w:rPr>
        <w:rFonts w:hint="default" w:ascii="宋体" w:hAnsi="宋体" w:eastAsia="宋体" w:cs="宋体"/>
        <w:spacing w:val="0"/>
        <w:w w:val="99"/>
        <w:sz w:val="21"/>
        <w:szCs w:val="21"/>
        <w:lang w:val="en-US" w:eastAsia="zh-CN" w:bidi="ar-SA"/>
      </w:rPr>
    </w:lvl>
    <w:lvl w:ilvl="2" w:tentative="0">
      <w:start w:val="0"/>
      <w:numFmt w:val="bullet"/>
      <w:lvlText w:val="•"/>
      <w:lvlJc w:val="left"/>
      <w:pPr>
        <w:ind w:left="1340" w:hanging="368"/>
      </w:pPr>
      <w:rPr>
        <w:rFonts w:hint="default"/>
        <w:lang w:val="en-US" w:eastAsia="zh-CN" w:bidi="ar-SA"/>
      </w:rPr>
    </w:lvl>
    <w:lvl w:ilvl="3" w:tentative="0">
      <w:start w:val="0"/>
      <w:numFmt w:val="bullet"/>
      <w:lvlText w:val="•"/>
      <w:lvlJc w:val="left"/>
      <w:pPr>
        <w:ind w:left="1400" w:hanging="368"/>
      </w:pPr>
      <w:rPr>
        <w:rFonts w:hint="default"/>
        <w:lang w:val="en-US" w:eastAsia="zh-CN" w:bidi="ar-SA"/>
      </w:rPr>
    </w:lvl>
    <w:lvl w:ilvl="4" w:tentative="0">
      <w:start w:val="0"/>
      <w:numFmt w:val="bullet"/>
      <w:lvlText w:val="•"/>
      <w:lvlJc w:val="left"/>
      <w:pPr>
        <w:ind w:left="1460" w:hanging="368"/>
      </w:pPr>
      <w:rPr>
        <w:rFonts w:hint="default"/>
        <w:lang w:val="en-US" w:eastAsia="zh-CN" w:bidi="ar-SA"/>
      </w:rPr>
    </w:lvl>
    <w:lvl w:ilvl="5" w:tentative="0">
      <w:start w:val="0"/>
      <w:numFmt w:val="bullet"/>
      <w:lvlText w:val="•"/>
      <w:lvlJc w:val="left"/>
      <w:pPr>
        <w:ind w:left="2954" w:hanging="368"/>
      </w:pPr>
      <w:rPr>
        <w:rFonts w:hint="default"/>
        <w:lang w:val="en-US" w:eastAsia="zh-CN" w:bidi="ar-SA"/>
      </w:rPr>
    </w:lvl>
    <w:lvl w:ilvl="6" w:tentative="0">
      <w:start w:val="0"/>
      <w:numFmt w:val="bullet"/>
      <w:lvlText w:val="•"/>
      <w:lvlJc w:val="left"/>
      <w:pPr>
        <w:ind w:left="4448" w:hanging="368"/>
      </w:pPr>
      <w:rPr>
        <w:rFonts w:hint="default"/>
        <w:lang w:val="en-US" w:eastAsia="zh-CN" w:bidi="ar-SA"/>
      </w:rPr>
    </w:lvl>
    <w:lvl w:ilvl="7" w:tentative="0">
      <w:start w:val="0"/>
      <w:numFmt w:val="bullet"/>
      <w:lvlText w:val="•"/>
      <w:lvlJc w:val="left"/>
      <w:pPr>
        <w:ind w:left="5943" w:hanging="368"/>
      </w:pPr>
      <w:rPr>
        <w:rFonts w:hint="default"/>
        <w:lang w:val="en-US" w:eastAsia="zh-CN" w:bidi="ar-SA"/>
      </w:rPr>
    </w:lvl>
    <w:lvl w:ilvl="8" w:tentative="0">
      <w:start w:val="0"/>
      <w:numFmt w:val="bullet"/>
      <w:lvlText w:val="•"/>
      <w:lvlJc w:val="left"/>
      <w:pPr>
        <w:ind w:left="7437" w:hanging="368"/>
      </w:pPr>
      <w:rPr>
        <w:rFonts w:hint="default"/>
        <w:lang w:val="en-US" w:eastAsia="zh-CN" w:bidi="ar-SA"/>
      </w:rPr>
    </w:lvl>
  </w:abstractNum>
  <w:abstractNum w:abstractNumId="24">
    <w:nsid w:val="7FCDF7AC"/>
    <w:multiLevelType w:val="singleLevel"/>
    <w:tmpl w:val="7FCDF7AC"/>
    <w:lvl w:ilvl="0" w:tentative="0">
      <w:start w:val="1"/>
      <w:numFmt w:val="decimal"/>
      <w:lvlText w:val="(%1)"/>
      <w:lvlJc w:val="left"/>
      <w:pPr>
        <w:ind w:left="425" w:hanging="425"/>
      </w:pPr>
      <w:rPr>
        <w:rFonts w:hint="default"/>
      </w:rPr>
    </w:lvl>
  </w:abstractNum>
  <w:num w:numId="1">
    <w:abstractNumId w:val="17"/>
  </w:num>
  <w:num w:numId="2">
    <w:abstractNumId w:val="23"/>
  </w:num>
  <w:num w:numId="3">
    <w:abstractNumId w:val="2"/>
  </w:num>
  <w:num w:numId="4">
    <w:abstractNumId w:val="1"/>
  </w:num>
  <w:num w:numId="5">
    <w:abstractNumId w:val="21"/>
  </w:num>
  <w:num w:numId="6">
    <w:abstractNumId w:val="24"/>
  </w:num>
  <w:num w:numId="7">
    <w:abstractNumId w:val="18"/>
  </w:num>
  <w:num w:numId="8">
    <w:abstractNumId w:val="22"/>
  </w:num>
  <w:num w:numId="9">
    <w:abstractNumId w:val="10"/>
  </w:num>
  <w:num w:numId="10">
    <w:abstractNumId w:val="15"/>
  </w:num>
  <w:num w:numId="11">
    <w:abstractNumId w:val="14"/>
  </w:num>
  <w:num w:numId="12">
    <w:abstractNumId w:val="11"/>
  </w:num>
  <w:num w:numId="13">
    <w:abstractNumId w:val="19"/>
  </w:num>
  <w:num w:numId="14">
    <w:abstractNumId w:val="16"/>
  </w:num>
  <w:num w:numId="15">
    <w:abstractNumId w:val="6"/>
  </w:num>
  <w:num w:numId="16">
    <w:abstractNumId w:val="5"/>
  </w:num>
  <w:num w:numId="17">
    <w:abstractNumId w:val="0"/>
  </w:num>
  <w:num w:numId="18">
    <w:abstractNumId w:val="9"/>
  </w:num>
  <w:num w:numId="19">
    <w:abstractNumId w:val="12"/>
  </w:num>
  <w:num w:numId="20">
    <w:abstractNumId w:val="7"/>
  </w:num>
  <w:num w:numId="21">
    <w:abstractNumId w:val="4"/>
  </w:num>
  <w:num w:numId="22">
    <w:abstractNumId w:val="20"/>
  </w:num>
  <w:num w:numId="23">
    <w:abstractNumId w:val="3"/>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iNTA5NzMzN2MxN2Y5MmMzNTM4MzBjNGJmNDllNDYifQ=="/>
  </w:docVars>
  <w:rsids>
    <w:rsidRoot w:val="0058105C"/>
    <w:rsid w:val="00046E09"/>
    <w:rsid w:val="00103E0A"/>
    <w:rsid w:val="00176536"/>
    <w:rsid w:val="001C1F39"/>
    <w:rsid w:val="001E5158"/>
    <w:rsid w:val="0023757C"/>
    <w:rsid w:val="002C01E4"/>
    <w:rsid w:val="002D3250"/>
    <w:rsid w:val="00301333"/>
    <w:rsid w:val="0035785A"/>
    <w:rsid w:val="004B78F6"/>
    <w:rsid w:val="004F3DEF"/>
    <w:rsid w:val="00535FD2"/>
    <w:rsid w:val="0058105C"/>
    <w:rsid w:val="005A49A8"/>
    <w:rsid w:val="00625C0F"/>
    <w:rsid w:val="006F28E2"/>
    <w:rsid w:val="00700E1D"/>
    <w:rsid w:val="007525BB"/>
    <w:rsid w:val="0077459E"/>
    <w:rsid w:val="00782AA6"/>
    <w:rsid w:val="007B28E6"/>
    <w:rsid w:val="00852AAA"/>
    <w:rsid w:val="00874B26"/>
    <w:rsid w:val="008C4A75"/>
    <w:rsid w:val="00967B11"/>
    <w:rsid w:val="0098725B"/>
    <w:rsid w:val="009D0D87"/>
    <w:rsid w:val="009D5594"/>
    <w:rsid w:val="00B27381"/>
    <w:rsid w:val="00BA4CD2"/>
    <w:rsid w:val="00D5738E"/>
    <w:rsid w:val="00DC03D7"/>
    <w:rsid w:val="00E85B86"/>
    <w:rsid w:val="00F20B32"/>
    <w:rsid w:val="019C5763"/>
    <w:rsid w:val="02DA63DE"/>
    <w:rsid w:val="063D4CBA"/>
    <w:rsid w:val="07AD40C1"/>
    <w:rsid w:val="09F7557E"/>
    <w:rsid w:val="0A692C49"/>
    <w:rsid w:val="0C300E1D"/>
    <w:rsid w:val="12073E93"/>
    <w:rsid w:val="15506580"/>
    <w:rsid w:val="189C57F6"/>
    <w:rsid w:val="191530D6"/>
    <w:rsid w:val="197F5436"/>
    <w:rsid w:val="1A1E0598"/>
    <w:rsid w:val="1A8C400A"/>
    <w:rsid w:val="1AEE6CA5"/>
    <w:rsid w:val="1B207DEB"/>
    <w:rsid w:val="1D7E5AB0"/>
    <w:rsid w:val="1DBA1560"/>
    <w:rsid w:val="1F070103"/>
    <w:rsid w:val="1FC3402A"/>
    <w:rsid w:val="20754BB5"/>
    <w:rsid w:val="20B63B8F"/>
    <w:rsid w:val="22910410"/>
    <w:rsid w:val="241067BA"/>
    <w:rsid w:val="24257ED4"/>
    <w:rsid w:val="24EF7670"/>
    <w:rsid w:val="25567912"/>
    <w:rsid w:val="264874D8"/>
    <w:rsid w:val="280E605F"/>
    <w:rsid w:val="28591233"/>
    <w:rsid w:val="29103779"/>
    <w:rsid w:val="29471828"/>
    <w:rsid w:val="2A3C1390"/>
    <w:rsid w:val="2ACF4CD1"/>
    <w:rsid w:val="2B7C3CB1"/>
    <w:rsid w:val="2E9C43C4"/>
    <w:rsid w:val="2FAC3D7D"/>
    <w:rsid w:val="30123CA5"/>
    <w:rsid w:val="32846BD4"/>
    <w:rsid w:val="32D61E6F"/>
    <w:rsid w:val="32DD31FD"/>
    <w:rsid w:val="35A95619"/>
    <w:rsid w:val="35FA423B"/>
    <w:rsid w:val="372907BF"/>
    <w:rsid w:val="3758784D"/>
    <w:rsid w:val="39D963E3"/>
    <w:rsid w:val="3A1D4352"/>
    <w:rsid w:val="3CCA146A"/>
    <w:rsid w:val="3DA2751D"/>
    <w:rsid w:val="3F16682C"/>
    <w:rsid w:val="3FA30C49"/>
    <w:rsid w:val="40BA4B7E"/>
    <w:rsid w:val="40C01BBF"/>
    <w:rsid w:val="40EB11DB"/>
    <w:rsid w:val="41874059"/>
    <w:rsid w:val="46EF7E28"/>
    <w:rsid w:val="48002ED8"/>
    <w:rsid w:val="49C956F4"/>
    <w:rsid w:val="4A1B668D"/>
    <w:rsid w:val="4A434E8E"/>
    <w:rsid w:val="4A4D0811"/>
    <w:rsid w:val="4B3B68BB"/>
    <w:rsid w:val="4CA07AE0"/>
    <w:rsid w:val="4D534390"/>
    <w:rsid w:val="4D875DE8"/>
    <w:rsid w:val="4E5C3DE9"/>
    <w:rsid w:val="4F3D1419"/>
    <w:rsid w:val="535E34F6"/>
    <w:rsid w:val="55AA4B63"/>
    <w:rsid w:val="56F815DE"/>
    <w:rsid w:val="576C0B1A"/>
    <w:rsid w:val="57E427B4"/>
    <w:rsid w:val="592941F7"/>
    <w:rsid w:val="59B83EF9"/>
    <w:rsid w:val="5B1C4013"/>
    <w:rsid w:val="5B20459C"/>
    <w:rsid w:val="5B5D6196"/>
    <w:rsid w:val="5CBA1B1F"/>
    <w:rsid w:val="5D6A7CFA"/>
    <w:rsid w:val="5E4242DE"/>
    <w:rsid w:val="5F9E593F"/>
    <w:rsid w:val="619743F4"/>
    <w:rsid w:val="633E4315"/>
    <w:rsid w:val="634B4FB7"/>
    <w:rsid w:val="63B82D47"/>
    <w:rsid w:val="63C137A1"/>
    <w:rsid w:val="64CF321D"/>
    <w:rsid w:val="657C3F13"/>
    <w:rsid w:val="671262F7"/>
    <w:rsid w:val="672A3F5C"/>
    <w:rsid w:val="67715A94"/>
    <w:rsid w:val="68573F50"/>
    <w:rsid w:val="690D3331"/>
    <w:rsid w:val="6A13282E"/>
    <w:rsid w:val="6E387C92"/>
    <w:rsid w:val="6ED87171"/>
    <w:rsid w:val="708D2701"/>
    <w:rsid w:val="70BC3E77"/>
    <w:rsid w:val="71455AB4"/>
    <w:rsid w:val="723E0B12"/>
    <w:rsid w:val="72BB12D9"/>
    <w:rsid w:val="732D6613"/>
    <w:rsid w:val="73EC3ED3"/>
    <w:rsid w:val="7451463C"/>
    <w:rsid w:val="76980CD0"/>
    <w:rsid w:val="76B6768F"/>
    <w:rsid w:val="78494D1B"/>
    <w:rsid w:val="7A100D8F"/>
    <w:rsid w:val="7D9210A5"/>
    <w:rsid w:val="7F9E1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0" w:semiHidden="0" w:name="toc 2"/>
    <w:lsdException w:uiPriority="39" w:name="toc 3"/>
    <w:lsdException w:uiPriority="39" w:name="toc 4"/>
    <w:lsdException w:uiPriority="39" w:name="toc 5"/>
    <w:lsdException w:qFormat="1" w:uiPriority="3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qFormat/>
    <w:uiPriority w:val="9"/>
    <w:pPr>
      <w:autoSpaceDE w:val="0"/>
      <w:autoSpaceDN w:val="0"/>
      <w:spacing w:before="40"/>
      <w:ind w:right="277"/>
      <w:jc w:val="center"/>
      <w:outlineLvl w:val="0"/>
    </w:pPr>
    <w:rPr>
      <w:rFonts w:ascii="宋体" w:hAnsi="宋体" w:eastAsia="宋体" w:cs="宋体"/>
      <w:kern w:val="0"/>
      <w:sz w:val="32"/>
      <w:szCs w:val="32"/>
    </w:rPr>
  </w:style>
  <w:style w:type="paragraph" w:styleId="3">
    <w:name w:val="heading 2"/>
    <w:basedOn w:val="1"/>
    <w:next w:val="4"/>
    <w:link w:val="45"/>
    <w:unhideWhenUsed/>
    <w:qFormat/>
    <w:uiPriority w:val="9"/>
    <w:pPr>
      <w:autoSpaceDE w:val="0"/>
      <w:autoSpaceDN w:val="0"/>
      <w:spacing w:before="51"/>
      <w:ind w:left="252"/>
      <w:jc w:val="left"/>
      <w:outlineLvl w:val="1"/>
    </w:pPr>
    <w:rPr>
      <w:rFonts w:ascii="Microsoft YaHei UI" w:hAnsi="Microsoft YaHei UI" w:eastAsia="Microsoft YaHei UI" w:cs="Microsoft YaHei UI"/>
      <w:b/>
      <w:bCs/>
      <w:kern w:val="0"/>
      <w:sz w:val="28"/>
      <w:szCs w:val="28"/>
    </w:rPr>
  </w:style>
  <w:style w:type="paragraph" w:styleId="5">
    <w:name w:val="heading 3"/>
    <w:basedOn w:val="1"/>
    <w:next w:val="1"/>
    <w:link w:val="46"/>
    <w:unhideWhenUsed/>
    <w:qFormat/>
    <w:uiPriority w:val="9"/>
    <w:pPr>
      <w:autoSpaceDE w:val="0"/>
      <w:autoSpaceDN w:val="0"/>
      <w:ind w:left="910"/>
      <w:jc w:val="left"/>
      <w:outlineLvl w:val="2"/>
    </w:pPr>
    <w:rPr>
      <w:rFonts w:ascii="宋体" w:hAnsi="宋体" w:eastAsia="宋体" w:cs="宋体"/>
      <w:kern w:val="0"/>
      <w:sz w:val="28"/>
      <w:szCs w:val="28"/>
    </w:rPr>
  </w:style>
  <w:style w:type="paragraph" w:styleId="6">
    <w:name w:val="heading 4"/>
    <w:basedOn w:val="1"/>
    <w:next w:val="1"/>
    <w:link w:val="47"/>
    <w:unhideWhenUsed/>
    <w:qFormat/>
    <w:uiPriority w:val="9"/>
    <w:pPr>
      <w:autoSpaceDE w:val="0"/>
      <w:autoSpaceDN w:val="0"/>
      <w:ind w:left="1100" w:right="1135"/>
      <w:jc w:val="center"/>
      <w:outlineLvl w:val="3"/>
    </w:pPr>
    <w:rPr>
      <w:rFonts w:ascii="Microsoft YaHei UI" w:hAnsi="Microsoft YaHei UI" w:eastAsia="Microsoft YaHei UI" w:cs="Microsoft YaHei UI"/>
      <w:b/>
      <w:bCs/>
      <w:kern w:val="0"/>
      <w:sz w:val="24"/>
      <w:szCs w:val="24"/>
      <w:u w:val="single" w:color="000000"/>
    </w:rPr>
  </w:style>
  <w:style w:type="paragraph" w:styleId="7">
    <w:name w:val="heading 5"/>
    <w:basedOn w:val="1"/>
    <w:next w:val="1"/>
    <w:link w:val="48"/>
    <w:unhideWhenUsed/>
    <w:qFormat/>
    <w:uiPriority w:val="9"/>
    <w:pPr>
      <w:autoSpaceDE w:val="0"/>
      <w:autoSpaceDN w:val="0"/>
      <w:ind w:left="980" w:hanging="420"/>
      <w:jc w:val="left"/>
      <w:outlineLvl w:val="4"/>
    </w:pPr>
    <w:rPr>
      <w:rFonts w:ascii="宋体" w:hAnsi="宋体" w:eastAsia="宋体" w:cs="宋体"/>
      <w:kern w:val="0"/>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autoSpaceDE w:val="0"/>
      <w:autoSpaceDN w:val="0"/>
      <w:ind w:firstLine="420"/>
      <w:jc w:val="left"/>
    </w:pPr>
    <w:rPr>
      <w:rFonts w:ascii="宋体" w:hAnsi="宋体" w:eastAsia="宋体" w:cs="宋体"/>
      <w:kern w:val="0"/>
      <w:sz w:val="22"/>
      <w:szCs w:val="20"/>
    </w:rPr>
  </w:style>
  <w:style w:type="paragraph" w:styleId="8">
    <w:name w:val="List Number 2"/>
    <w:basedOn w:val="1"/>
    <w:semiHidden/>
    <w:unhideWhenUsed/>
    <w:qFormat/>
    <w:uiPriority w:val="99"/>
    <w:pPr>
      <w:numPr>
        <w:ilvl w:val="0"/>
        <w:numId w:val="1"/>
      </w:numPr>
      <w:autoSpaceDE w:val="0"/>
      <w:autoSpaceDN w:val="0"/>
      <w:jc w:val="left"/>
    </w:pPr>
    <w:rPr>
      <w:rFonts w:ascii="宋体" w:hAnsi="宋体" w:eastAsia="宋体" w:cs="宋体"/>
      <w:kern w:val="0"/>
      <w:sz w:val="22"/>
    </w:rPr>
  </w:style>
  <w:style w:type="paragraph" w:styleId="9">
    <w:name w:val="caption"/>
    <w:next w:val="1"/>
    <w:qFormat/>
    <w:uiPriority w:val="0"/>
    <w:pPr>
      <w:widowControl w:val="0"/>
      <w:spacing w:before="152" w:after="160"/>
      <w:jc w:val="both"/>
    </w:pPr>
    <w:rPr>
      <w:rFonts w:ascii="Arial" w:hAnsi="Arial" w:eastAsia="黑体" w:cs="Times New Roman"/>
      <w:kern w:val="2"/>
      <w:sz w:val="20"/>
      <w:szCs w:val="20"/>
      <w:lang w:val="en-US" w:eastAsia="zh-CN" w:bidi="ar-SA"/>
    </w:rPr>
  </w:style>
  <w:style w:type="paragraph" w:styleId="10">
    <w:name w:val="annotation text"/>
    <w:basedOn w:val="1"/>
    <w:link w:val="50"/>
    <w:unhideWhenUsed/>
    <w:qFormat/>
    <w:uiPriority w:val="99"/>
    <w:pPr>
      <w:autoSpaceDE w:val="0"/>
      <w:autoSpaceDN w:val="0"/>
      <w:jc w:val="left"/>
    </w:pPr>
    <w:rPr>
      <w:rFonts w:ascii="Calibri" w:hAnsi="Calibri" w:eastAsia="宋体" w:cs="Times New Roman"/>
      <w:kern w:val="0"/>
      <w:sz w:val="22"/>
      <w:szCs w:val="20"/>
    </w:rPr>
  </w:style>
  <w:style w:type="paragraph" w:styleId="11">
    <w:name w:val="Body Text 3"/>
    <w:basedOn w:val="1"/>
    <w:link w:val="51"/>
    <w:qFormat/>
    <w:uiPriority w:val="0"/>
    <w:pPr>
      <w:autoSpaceDE w:val="0"/>
      <w:autoSpaceDN w:val="0"/>
      <w:adjustRightInd w:val="0"/>
      <w:snapToGrid w:val="0"/>
      <w:jc w:val="left"/>
    </w:pPr>
    <w:rPr>
      <w:rFonts w:ascii="仿宋_GB2312" w:hAnsi="宋体" w:eastAsia="仿宋_GB2312" w:cs="宋体"/>
      <w:bCs/>
      <w:color w:val="000000"/>
      <w:sz w:val="24"/>
      <w:szCs w:val="32"/>
    </w:rPr>
  </w:style>
  <w:style w:type="paragraph" w:styleId="12">
    <w:name w:val="Body Text"/>
    <w:basedOn w:val="1"/>
    <w:next w:val="13"/>
    <w:link w:val="52"/>
    <w:qFormat/>
    <w:uiPriority w:val="1"/>
    <w:pPr>
      <w:autoSpaceDE w:val="0"/>
      <w:autoSpaceDN w:val="0"/>
      <w:jc w:val="left"/>
    </w:pPr>
    <w:rPr>
      <w:rFonts w:ascii="宋体" w:hAnsi="宋体" w:eastAsia="宋体" w:cs="宋体"/>
      <w:kern w:val="0"/>
      <w:szCs w:val="21"/>
    </w:rPr>
  </w:style>
  <w:style w:type="paragraph" w:styleId="13">
    <w:name w:val="toc 2"/>
    <w:basedOn w:val="1"/>
    <w:next w:val="1"/>
    <w:qFormat/>
    <w:uiPriority w:val="0"/>
    <w:pPr>
      <w:autoSpaceDE w:val="0"/>
      <w:autoSpaceDN w:val="0"/>
      <w:ind w:left="210"/>
      <w:jc w:val="left"/>
    </w:pPr>
    <w:rPr>
      <w:rFonts w:ascii="Calibri" w:hAnsi="Calibri" w:eastAsia="宋体" w:cs="宋体"/>
      <w:smallCaps/>
      <w:kern w:val="0"/>
      <w:sz w:val="22"/>
    </w:rPr>
  </w:style>
  <w:style w:type="paragraph" w:styleId="14">
    <w:name w:val="Body Text Indent"/>
    <w:basedOn w:val="1"/>
    <w:next w:val="1"/>
    <w:link w:val="53"/>
    <w:qFormat/>
    <w:uiPriority w:val="0"/>
    <w:pPr>
      <w:autoSpaceDE w:val="0"/>
      <w:autoSpaceDN w:val="0"/>
      <w:spacing w:after="120"/>
      <w:ind w:left="420" w:leftChars="200"/>
      <w:jc w:val="left"/>
    </w:pPr>
    <w:rPr>
      <w:rFonts w:ascii="宋体" w:hAnsi="宋体" w:eastAsia="宋体" w:cs="宋体"/>
      <w:kern w:val="0"/>
      <w:sz w:val="22"/>
    </w:rPr>
  </w:style>
  <w:style w:type="paragraph" w:styleId="15">
    <w:name w:val="Plain Text"/>
    <w:basedOn w:val="1"/>
    <w:link w:val="54"/>
    <w:qFormat/>
    <w:uiPriority w:val="0"/>
    <w:pPr>
      <w:autoSpaceDE w:val="0"/>
      <w:autoSpaceDN w:val="0"/>
      <w:jc w:val="left"/>
    </w:pPr>
    <w:rPr>
      <w:rFonts w:ascii="宋体" w:hAnsi="Courier New" w:eastAsia="宋体" w:cs="Courier New"/>
      <w:kern w:val="0"/>
      <w:sz w:val="22"/>
      <w:szCs w:val="21"/>
    </w:rPr>
  </w:style>
  <w:style w:type="paragraph" w:styleId="16">
    <w:name w:val="Balloon Text"/>
    <w:basedOn w:val="1"/>
    <w:link w:val="78"/>
    <w:semiHidden/>
    <w:unhideWhenUsed/>
    <w:qFormat/>
    <w:uiPriority w:val="99"/>
    <w:pPr>
      <w:autoSpaceDE w:val="0"/>
      <w:autoSpaceDN w:val="0"/>
      <w:jc w:val="left"/>
    </w:pPr>
    <w:rPr>
      <w:rFonts w:ascii="宋体" w:hAnsi="宋体" w:eastAsia="宋体" w:cs="宋体"/>
      <w:kern w:val="0"/>
      <w:sz w:val="18"/>
      <w:szCs w:val="18"/>
    </w:rPr>
  </w:style>
  <w:style w:type="paragraph" w:styleId="17">
    <w:name w:val="footer"/>
    <w:basedOn w:val="1"/>
    <w:link w:val="55"/>
    <w:unhideWhenUsed/>
    <w:qFormat/>
    <w:uiPriority w:val="99"/>
    <w:pPr>
      <w:tabs>
        <w:tab w:val="center" w:pos="4153"/>
        <w:tab w:val="right" w:pos="8306"/>
      </w:tabs>
      <w:autoSpaceDE w:val="0"/>
      <w:autoSpaceDN w:val="0"/>
      <w:snapToGrid w:val="0"/>
      <w:jc w:val="left"/>
    </w:pPr>
    <w:rPr>
      <w:rFonts w:ascii="宋体" w:hAnsi="宋体" w:eastAsia="宋体" w:cs="宋体"/>
      <w:kern w:val="0"/>
      <w:sz w:val="18"/>
    </w:rPr>
  </w:style>
  <w:style w:type="paragraph" w:styleId="18">
    <w:name w:val="header"/>
    <w:basedOn w:val="1"/>
    <w:link w:val="56"/>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autoSpaceDE w:val="0"/>
      <w:autoSpaceDN w:val="0"/>
      <w:snapToGrid w:val="0"/>
    </w:pPr>
    <w:rPr>
      <w:rFonts w:ascii="宋体" w:hAnsi="宋体" w:eastAsia="宋体" w:cs="宋体"/>
      <w:kern w:val="0"/>
      <w:sz w:val="18"/>
    </w:rPr>
  </w:style>
  <w:style w:type="paragraph" w:styleId="19">
    <w:name w:val="toc 1"/>
    <w:basedOn w:val="1"/>
    <w:next w:val="1"/>
    <w:qFormat/>
    <w:uiPriority w:val="1"/>
    <w:pPr>
      <w:autoSpaceDE w:val="0"/>
      <w:autoSpaceDN w:val="0"/>
      <w:spacing w:before="240"/>
      <w:ind w:left="252"/>
      <w:jc w:val="left"/>
    </w:pPr>
    <w:rPr>
      <w:rFonts w:ascii="宋体" w:hAnsi="宋体" w:eastAsia="宋体" w:cs="宋体"/>
      <w:kern w:val="0"/>
      <w:sz w:val="30"/>
      <w:szCs w:val="30"/>
    </w:rPr>
  </w:style>
  <w:style w:type="paragraph" w:styleId="20">
    <w:name w:val="Subtitle"/>
    <w:basedOn w:val="1"/>
    <w:next w:val="1"/>
    <w:link w:val="49"/>
    <w:qFormat/>
    <w:uiPriority w:val="11"/>
    <w:pPr>
      <w:autoSpaceDE w:val="0"/>
      <w:autoSpaceDN w:val="0"/>
      <w:spacing w:before="240" w:after="60" w:line="312" w:lineRule="auto"/>
      <w:jc w:val="center"/>
      <w:outlineLvl w:val="1"/>
    </w:pPr>
    <w:rPr>
      <w:rFonts w:ascii="Cambria" w:hAnsi="Cambria" w:eastAsia="宋体" w:cs="宋体"/>
      <w:b/>
      <w:bCs/>
      <w:kern w:val="28"/>
      <w:sz w:val="32"/>
      <w:szCs w:val="32"/>
    </w:rPr>
  </w:style>
  <w:style w:type="paragraph" w:styleId="21">
    <w:name w:val="toc 6"/>
    <w:basedOn w:val="1"/>
    <w:next w:val="1"/>
    <w:unhideWhenUsed/>
    <w:qFormat/>
    <w:uiPriority w:val="39"/>
    <w:pPr>
      <w:autoSpaceDE w:val="0"/>
      <w:autoSpaceDN w:val="0"/>
      <w:ind w:left="1050"/>
      <w:jc w:val="left"/>
    </w:pPr>
    <w:rPr>
      <w:rFonts w:ascii="宋体" w:hAnsi="宋体" w:eastAsia="宋体" w:cs="宋体"/>
      <w:kern w:val="0"/>
      <w:sz w:val="22"/>
      <w:szCs w:val="21"/>
    </w:rPr>
  </w:style>
  <w:style w:type="paragraph" w:styleId="22">
    <w:name w:val="Body Text 2"/>
    <w:basedOn w:val="1"/>
    <w:next w:val="12"/>
    <w:link w:val="57"/>
    <w:qFormat/>
    <w:uiPriority w:val="0"/>
    <w:pPr>
      <w:autoSpaceDE w:val="0"/>
      <w:autoSpaceDN w:val="0"/>
      <w:spacing w:line="480" w:lineRule="auto"/>
      <w:jc w:val="left"/>
    </w:pPr>
    <w:rPr>
      <w:rFonts w:ascii="宋体" w:hAnsi="宋体" w:eastAsia="宋体" w:cs="宋体"/>
      <w:kern w:val="0"/>
      <w:sz w:val="22"/>
    </w:rPr>
  </w:style>
  <w:style w:type="paragraph" w:styleId="23">
    <w:name w:val="Normal (Web)"/>
    <w:basedOn w:val="1"/>
    <w:qFormat/>
    <w:uiPriority w:val="0"/>
    <w:pPr>
      <w:widowControl/>
      <w:autoSpaceDE w:val="0"/>
      <w:autoSpaceDN w:val="0"/>
      <w:spacing w:before="100" w:beforeAutospacing="1" w:after="100" w:afterAutospacing="1"/>
      <w:jc w:val="left"/>
    </w:pPr>
    <w:rPr>
      <w:rFonts w:ascii="宋体" w:hAnsi="宋体" w:eastAsia="宋体" w:cs="宋体"/>
      <w:kern w:val="0"/>
      <w:sz w:val="24"/>
    </w:rPr>
  </w:style>
  <w:style w:type="paragraph" w:styleId="24">
    <w:name w:val="Title"/>
    <w:basedOn w:val="1"/>
    <w:link w:val="58"/>
    <w:qFormat/>
    <w:uiPriority w:val="10"/>
    <w:pPr>
      <w:autoSpaceDE w:val="0"/>
      <w:autoSpaceDN w:val="0"/>
      <w:spacing w:before="15"/>
      <w:ind w:right="277"/>
      <w:jc w:val="center"/>
    </w:pPr>
    <w:rPr>
      <w:rFonts w:ascii="宋体" w:hAnsi="宋体" w:eastAsia="宋体" w:cs="宋体"/>
      <w:kern w:val="0"/>
      <w:sz w:val="60"/>
      <w:szCs w:val="60"/>
    </w:rPr>
  </w:style>
  <w:style w:type="paragraph" w:styleId="25">
    <w:name w:val="Body Text First Indent"/>
    <w:basedOn w:val="12"/>
    <w:next w:val="1"/>
    <w:link w:val="59"/>
    <w:qFormat/>
    <w:uiPriority w:val="0"/>
    <w:pPr>
      <w:ind w:firstLine="420" w:firstLineChars="100"/>
    </w:pPr>
    <w:rPr>
      <w:sz w:val="34"/>
      <w:szCs w:val="20"/>
    </w:rPr>
  </w:style>
  <w:style w:type="paragraph" w:styleId="26">
    <w:name w:val="Body Text First Indent 2"/>
    <w:basedOn w:val="14"/>
    <w:next w:val="1"/>
    <w:link w:val="60"/>
    <w:qFormat/>
    <w:uiPriority w:val="0"/>
    <w:pPr>
      <w:ind w:left="0" w:leftChars="0" w:firstLine="960" w:firstLineChars="200"/>
    </w:pPr>
    <w:rPr>
      <w:rFonts w:eastAsia="楷体"/>
      <w:kern w:val="2"/>
      <w:szCs w:val="24"/>
    </w:rPr>
  </w:style>
  <w:style w:type="table" w:styleId="28">
    <w:name w:val="Table Grid"/>
    <w:basedOn w:val="27"/>
    <w:unhideWhenUsed/>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bCs/>
    </w:rPr>
  </w:style>
  <w:style w:type="character" w:styleId="31">
    <w:name w:val="page number"/>
    <w:basedOn w:val="29"/>
    <w:qFormat/>
    <w:uiPriority w:val="0"/>
  </w:style>
  <w:style w:type="character" w:styleId="32">
    <w:name w:val="FollowedHyperlink"/>
    <w:basedOn w:val="29"/>
    <w:semiHidden/>
    <w:unhideWhenUsed/>
    <w:qFormat/>
    <w:uiPriority w:val="99"/>
    <w:rPr>
      <w:color w:val="800080"/>
      <w:u w:val="none"/>
    </w:rPr>
  </w:style>
  <w:style w:type="character" w:styleId="33">
    <w:name w:val="Emphasis"/>
    <w:basedOn w:val="29"/>
    <w:qFormat/>
    <w:uiPriority w:val="20"/>
    <w:rPr>
      <w:b/>
      <w:bCs/>
    </w:rPr>
  </w:style>
  <w:style w:type="character" w:styleId="34">
    <w:name w:val="HTML Definition"/>
    <w:basedOn w:val="29"/>
    <w:semiHidden/>
    <w:unhideWhenUsed/>
    <w:qFormat/>
    <w:uiPriority w:val="99"/>
  </w:style>
  <w:style w:type="character" w:styleId="35">
    <w:name w:val="HTML Typewriter"/>
    <w:basedOn w:val="29"/>
    <w:semiHidden/>
    <w:unhideWhenUsed/>
    <w:qFormat/>
    <w:uiPriority w:val="99"/>
    <w:rPr>
      <w:rFonts w:hint="default" w:ascii="monospace" w:hAnsi="monospace" w:eastAsia="monospace" w:cs="monospace"/>
      <w:sz w:val="20"/>
    </w:rPr>
  </w:style>
  <w:style w:type="character" w:styleId="36">
    <w:name w:val="HTML Acronym"/>
    <w:basedOn w:val="29"/>
    <w:semiHidden/>
    <w:unhideWhenUsed/>
    <w:qFormat/>
    <w:uiPriority w:val="99"/>
  </w:style>
  <w:style w:type="character" w:styleId="37">
    <w:name w:val="HTML Variable"/>
    <w:basedOn w:val="29"/>
    <w:semiHidden/>
    <w:unhideWhenUsed/>
    <w:qFormat/>
    <w:uiPriority w:val="99"/>
  </w:style>
  <w:style w:type="character" w:styleId="38">
    <w:name w:val="Hyperlink"/>
    <w:basedOn w:val="29"/>
    <w:semiHidden/>
    <w:unhideWhenUsed/>
    <w:qFormat/>
    <w:uiPriority w:val="99"/>
    <w:rPr>
      <w:color w:val="0000FF"/>
      <w:u w:val="none"/>
    </w:rPr>
  </w:style>
  <w:style w:type="character" w:styleId="39">
    <w:name w:val="HTML Code"/>
    <w:basedOn w:val="29"/>
    <w:semiHidden/>
    <w:unhideWhenUsed/>
    <w:qFormat/>
    <w:uiPriority w:val="99"/>
    <w:rPr>
      <w:rFonts w:ascii="monospace" w:hAnsi="monospace" w:eastAsia="monospace" w:cs="monospace"/>
      <w:sz w:val="20"/>
    </w:rPr>
  </w:style>
  <w:style w:type="character" w:styleId="40">
    <w:name w:val="annotation reference"/>
    <w:basedOn w:val="29"/>
    <w:qFormat/>
    <w:uiPriority w:val="0"/>
    <w:rPr>
      <w:sz w:val="21"/>
      <w:szCs w:val="21"/>
    </w:rPr>
  </w:style>
  <w:style w:type="character" w:styleId="41">
    <w:name w:val="HTML Cite"/>
    <w:basedOn w:val="29"/>
    <w:semiHidden/>
    <w:unhideWhenUsed/>
    <w:qFormat/>
    <w:uiPriority w:val="99"/>
  </w:style>
  <w:style w:type="character" w:styleId="42">
    <w:name w:val="HTML Keyboard"/>
    <w:basedOn w:val="29"/>
    <w:semiHidden/>
    <w:unhideWhenUsed/>
    <w:qFormat/>
    <w:uiPriority w:val="99"/>
    <w:rPr>
      <w:rFonts w:hint="default" w:ascii="monospace" w:hAnsi="monospace" w:eastAsia="monospace" w:cs="monospace"/>
      <w:sz w:val="20"/>
    </w:rPr>
  </w:style>
  <w:style w:type="character" w:styleId="43">
    <w:name w:val="HTML Sample"/>
    <w:basedOn w:val="29"/>
    <w:semiHidden/>
    <w:unhideWhenUsed/>
    <w:qFormat/>
    <w:uiPriority w:val="99"/>
    <w:rPr>
      <w:rFonts w:hint="default" w:ascii="monospace" w:hAnsi="monospace" w:eastAsia="monospace" w:cs="monospace"/>
      <w:vanish/>
    </w:rPr>
  </w:style>
  <w:style w:type="character" w:customStyle="1" w:styleId="44">
    <w:name w:val="标题 1 Char"/>
    <w:basedOn w:val="29"/>
    <w:link w:val="2"/>
    <w:qFormat/>
    <w:uiPriority w:val="9"/>
    <w:rPr>
      <w:rFonts w:ascii="宋体" w:hAnsi="宋体" w:eastAsia="宋体" w:cs="宋体"/>
      <w:kern w:val="0"/>
      <w:sz w:val="32"/>
      <w:szCs w:val="32"/>
    </w:rPr>
  </w:style>
  <w:style w:type="character" w:customStyle="1" w:styleId="45">
    <w:name w:val="标题 2 Char"/>
    <w:basedOn w:val="29"/>
    <w:link w:val="3"/>
    <w:qFormat/>
    <w:uiPriority w:val="9"/>
    <w:rPr>
      <w:rFonts w:ascii="Microsoft YaHei UI" w:hAnsi="Microsoft YaHei UI" w:eastAsia="Microsoft YaHei UI" w:cs="Microsoft YaHei UI"/>
      <w:b/>
      <w:bCs/>
      <w:kern w:val="0"/>
      <w:sz w:val="28"/>
      <w:szCs w:val="28"/>
    </w:rPr>
  </w:style>
  <w:style w:type="character" w:customStyle="1" w:styleId="46">
    <w:name w:val="标题 3 Char"/>
    <w:basedOn w:val="29"/>
    <w:link w:val="5"/>
    <w:qFormat/>
    <w:uiPriority w:val="9"/>
    <w:rPr>
      <w:rFonts w:ascii="宋体" w:hAnsi="宋体" w:eastAsia="宋体" w:cs="宋体"/>
      <w:kern w:val="0"/>
      <w:sz w:val="28"/>
      <w:szCs w:val="28"/>
    </w:rPr>
  </w:style>
  <w:style w:type="character" w:customStyle="1" w:styleId="47">
    <w:name w:val="标题 4 Char"/>
    <w:basedOn w:val="29"/>
    <w:link w:val="6"/>
    <w:qFormat/>
    <w:uiPriority w:val="9"/>
    <w:rPr>
      <w:rFonts w:ascii="Microsoft YaHei UI" w:hAnsi="Microsoft YaHei UI" w:eastAsia="Microsoft YaHei UI" w:cs="Microsoft YaHei UI"/>
      <w:b/>
      <w:bCs/>
      <w:kern w:val="0"/>
      <w:sz w:val="24"/>
      <w:szCs w:val="24"/>
      <w:u w:val="single" w:color="000000"/>
    </w:rPr>
  </w:style>
  <w:style w:type="character" w:customStyle="1" w:styleId="48">
    <w:name w:val="标题 5 Char"/>
    <w:basedOn w:val="29"/>
    <w:link w:val="7"/>
    <w:qFormat/>
    <w:uiPriority w:val="9"/>
    <w:rPr>
      <w:rFonts w:ascii="宋体" w:hAnsi="宋体" w:eastAsia="宋体" w:cs="宋体"/>
      <w:kern w:val="0"/>
      <w:sz w:val="24"/>
      <w:szCs w:val="24"/>
    </w:rPr>
  </w:style>
  <w:style w:type="character" w:customStyle="1" w:styleId="49">
    <w:name w:val="副标题 Char"/>
    <w:basedOn w:val="29"/>
    <w:link w:val="20"/>
    <w:qFormat/>
    <w:uiPriority w:val="11"/>
    <w:rPr>
      <w:rFonts w:ascii="Cambria" w:hAnsi="Cambria" w:eastAsia="宋体" w:cs="宋体"/>
      <w:b/>
      <w:bCs/>
      <w:kern w:val="28"/>
      <w:sz w:val="32"/>
      <w:szCs w:val="32"/>
    </w:rPr>
  </w:style>
  <w:style w:type="character" w:customStyle="1" w:styleId="50">
    <w:name w:val="批注文字 Char"/>
    <w:basedOn w:val="29"/>
    <w:link w:val="10"/>
    <w:qFormat/>
    <w:uiPriority w:val="99"/>
    <w:rPr>
      <w:rFonts w:ascii="Calibri" w:hAnsi="Calibri" w:eastAsia="宋体" w:cs="Times New Roman"/>
      <w:kern w:val="0"/>
      <w:sz w:val="22"/>
      <w:szCs w:val="20"/>
    </w:rPr>
  </w:style>
  <w:style w:type="character" w:customStyle="1" w:styleId="51">
    <w:name w:val="正文文本 3 Char"/>
    <w:basedOn w:val="29"/>
    <w:link w:val="11"/>
    <w:qFormat/>
    <w:uiPriority w:val="0"/>
    <w:rPr>
      <w:rFonts w:ascii="仿宋_GB2312" w:hAnsi="宋体" w:eastAsia="仿宋_GB2312" w:cs="宋体"/>
      <w:bCs/>
      <w:color w:val="000000"/>
      <w:sz w:val="24"/>
      <w:szCs w:val="32"/>
    </w:rPr>
  </w:style>
  <w:style w:type="character" w:customStyle="1" w:styleId="52">
    <w:name w:val="正文文本 Char"/>
    <w:basedOn w:val="29"/>
    <w:link w:val="12"/>
    <w:qFormat/>
    <w:uiPriority w:val="1"/>
    <w:rPr>
      <w:rFonts w:ascii="宋体" w:hAnsi="宋体" w:eastAsia="宋体" w:cs="宋体"/>
      <w:kern w:val="0"/>
      <w:szCs w:val="21"/>
    </w:rPr>
  </w:style>
  <w:style w:type="character" w:customStyle="1" w:styleId="53">
    <w:name w:val="正文文本缩进 Char"/>
    <w:basedOn w:val="29"/>
    <w:link w:val="14"/>
    <w:qFormat/>
    <w:uiPriority w:val="0"/>
    <w:rPr>
      <w:rFonts w:ascii="宋体" w:hAnsi="宋体" w:eastAsia="宋体" w:cs="宋体"/>
      <w:kern w:val="0"/>
      <w:sz w:val="22"/>
    </w:rPr>
  </w:style>
  <w:style w:type="character" w:customStyle="1" w:styleId="54">
    <w:name w:val="纯文本 Char"/>
    <w:basedOn w:val="29"/>
    <w:link w:val="15"/>
    <w:qFormat/>
    <w:uiPriority w:val="0"/>
    <w:rPr>
      <w:rFonts w:ascii="宋体" w:hAnsi="Courier New" w:eastAsia="宋体" w:cs="Courier New"/>
      <w:kern w:val="0"/>
      <w:sz w:val="22"/>
      <w:szCs w:val="21"/>
    </w:rPr>
  </w:style>
  <w:style w:type="character" w:customStyle="1" w:styleId="55">
    <w:name w:val="页脚 Char"/>
    <w:basedOn w:val="29"/>
    <w:link w:val="17"/>
    <w:qFormat/>
    <w:uiPriority w:val="99"/>
    <w:rPr>
      <w:rFonts w:ascii="宋体" w:hAnsi="宋体" w:eastAsia="宋体" w:cs="宋体"/>
      <w:kern w:val="0"/>
      <w:sz w:val="18"/>
    </w:rPr>
  </w:style>
  <w:style w:type="character" w:customStyle="1" w:styleId="56">
    <w:name w:val="页眉 Char"/>
    <w:basedOn w:val="29"/>
    <w:link w:val="18"/>
    <w:qFormat/>
    <w:uiPriority w:val="99"/>
    <w:rPr>
      <w:rFonts w:ascii="宋体" w:hAnsi="宋体" w:eastAsia="宋体" w:cs="宋体"/>
      <w:kern w:val="0"/>
      <w:sz w:val="18"/>
    </w:rPr>
  </w:style>
  <w:style w:type="character" w:customStyle="1" w:styleId="57">
    <w:name w:val="正文文本 2 Char"/>
    <w:basedOn w:val="29"/>
    <w:link w:val="22"/>
    <w:qFormat/>
    <w:uiPriority w:val="0"/>
    <w:rPr>
      <w:rFonts w:ascii="宋体" w:hAnsi="宋体" w:eastAsia="宋体" w:cs="宋体"/>
      <w:kern w:val="0"/>
      <w:sz w:val="22"/>
    </w:rPr>
  </w:style>
  <w:style w:type="character" w:customStyle="1" w:styleId="58">
    <w:name w:val="标题 Char"/>
    <w:basedOn w:val="29"/>
    <w:link w:val="24"/>
    <w:qFormat/>
    <w:uiPriority w:val="10"/>
    <w:rPr>
      <w:rFonts w:ascii="宋体" w:hAnsi="宋体" w:eastAsia="宋体" w:cs="宋体"/>
      <w:kern w:val="0"/>
      <w:sz w:val="60"/>
      <w:szCs w:val="60"/>
    </w:rPr>
  </w:style>
  <w:style w:type="character" w:customStyle="1" w:styleId="59">
    <w:name w:val="正文首行缩进 Char"/>
    <w:basedOn w:val="52"/>
    <w:link w:val="25"/>
    <w:qFormat/>
    <w:uiPriority w:val="0"/>
    <w:rPr>
      <w:rFonts w:ascii="宋体" w:hAnsi="宋体" w:eastAsia="宋体" w:cs="宋体"/>
      <w:kern w:val="0"/>
      <w:sz w:val="34"/>
      <w:szCs w:val="20"/>
    </w:rPr>
  </w:style>
  <w:style w:type="character" w:customStyle="1" w:styleId="60">
    <w:name w:val="正文首行缩进 2 Char"/>
    <w:basedOn w:val="53"/>
    <w:link w:val="26"/>
    <w:qFormat/>
    <w:uiPriority w:val="0"/>
    <w:rPr>
      <w:rFonts w:ascii="宋体" w:hAnsi="宋体" w:eastAsia="楷体" w:cs="宋体"/>
      <w:kern w:val="0"/>
      <w:sz w:val="22"/>
      <w:szCs w:val="24"/>
    </w:rPr>
  </w:style>
  <w:style w:type="table" w:customStyle="1" w:styleId="61">
    <w:name w:val="Table Normal"/>
    <w:semiHidden/>
    <w:unhideWhenUsed/>
    <w:qFormat/>
    <w:uiPriority w:val="2"/>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styleId="62">
    <w:name w:val="List Paragraph"/>
    <w:basedOn w:val="1"/>
    <w:next w:val="1"/>
    <w:qFormat/>
    <w:uiPriority w:val="1"/>
    <w:pPr>
      <w:autoSpaceDE w:val="0"/>
      <w:autoSpaceDN w:val="0"/>
      <w:ind w:left="560" w:firstLine="420"/>
      <w:jc w:val="left"/>
    </w:pPr>
    <w:rPr>
      <w:rFonts w:ascii="宋体" w:hAnsi="宋体" w:eastAsia="宋体" w:cs="宋体"/>
      <w:kern w:val="0"/>
      <w:sz w:val="22"/>
    </w:rPr>
  </w:style>
  <w:style w:type="paragraph" w:customStyle="1" w:styleId="63">
    <w:name w:val="Table Paragraph"/>
    <w:basedOn w:val="1"/>
    <w:qFormat/>
    <w:uiPriority w:val="1"/>
    <w:pPr>
      <w:autoSpaceDE w:val="0"/>
      <w:autoSpaceDN w:val="0"/>
      <w:jc w:val="left"/>
    </w:pPr>
    <w:rPr>
      <w:rFonts w:ascii="宋体" w:hAnsi="宋体" w:eastAsia="宋体" w:cs="宋体"/>
      <w:kern w:val="0"/>
      <w:sz w:val="22"/>
    </w:rPr>
  </w:style>
  <w:style w:type="paragraph" w:customStyle="1" w:styleId="6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5">
    <w:name w:val="正文2"/>
    <w:basedOn w:val="1"/>
    <w:qFormat/>
    <w:uiPriority w:val="0"/>
    <w:pPr>
      <w:autoSpaceDE w:val="0"/>
      <w:autoSpaceDN w:val="0"/>
      <w:spacing w:before="156" w:line="360" w:lineRule="auto"/>
      <w:ind w:firstLine="510" w:firstLineChars="200"/>
      <w:jc w:val="left"/>
    </w:pPr>
    <w:rPr>
      <w:rFonts w:ascii="宋体" w:hAnsi="宋体" w:eastAsia="宋体" w:cs="宋体"/>
      <w:kern w:val="0"/>
      <w:sz w:val="24"/>
      <w:szCs w:val="20"/>
    </w:rPr>
  </w:style>
  <w:style w:type="paragraph" w:customStyle="1" w:styleId="66">
    <w:name w:val="标书_正文"/>
    <w:basedOn w:val="1"/>
    <w:qFormat/>
    <w:uiPriority w:val="0"/>
    <w:pPr>
      <w:autoSpaceDE w:val="0"/>
      <w:autoSpaceDN w:val="0"/>
      <w:adjustRightInd w:val="0"/>
      <w:snapToGrid w:val="0"/>
      <w:spacing w:line="400" w:lineRule="exact"/>
      <w:ind w:firstLine="560" w:firstLineChars="200"/>
      <w:jc w:val="left"/>
    </w:pPr>
    <w:rPr>
      <w:rFonts w:ascii="仿宋_GB2312" w:hAnsi="宋体" w:eastAsia="仿宋_GB2312" w:cs="宋体"/>
      <w:bCs/>
      <w:color w:val="000000"/>
      <w:kern w:val="0"/>
      <w:sz w:val="28"/>
      <w:szCs w:val="28"/>
    </w:rPr>
  </w:style>
  <w:style w:type="paragraph" w:customStyle="1" w:styleId="67">
    <w:name w:val="首行缩进"/>
    <w:basedOn w:val="1"/>
    <w:qFormat/>
    <w:uiPriority w:val="99"/>
    <w:pPr>
      <w:autoSpaceDE w:val="0"/>
      <w:autoSpaceDN w:val="0"/>
      <w:spacing w:line="360" w:lineRule="auto"/>
      <w:ind w:firstLine="480" w:firstLineChars="200"/>
      <w:jc w:val="left"/>
    </w:pPr>
    <w:rPr>
      <w:rFonts w:ascii="宋体" w:hAnsi="宋体" w:eastAsia="宋体" w:cs="宋体"/>
      <w:kern w:val="0"/>
      <w:sz w:val="24"/>
      <w:lang w:val="zh-CN"/>
    </w:rPr>
  </w:style>
  <w:style w:type="character" w:customStyle="1" w:styleId="68">
    <w:name w:val="NormalCharacter"/>
    <w:qFormat/>
    <w:uiPriority w:val="0"/>
  </w:style>
  <w:style w:type="paragraph" w:customStyle="1" w:styleId="69">
    <w:name w:val="内文正文"/>
    <w:qFormat/>
    <w:uiPriority w:val="0"/>
    <w:pPr>
      <w:autoSpaceDE w:val="0"/>
      <w:autoSpaceDN w:val="0"/>
      <w:spacing w:line="400" w:lineRule="exact"/>
      <w:ind w:firstLine="200" w:firstLineChars="200"/>
      <w:textAlignment w:val="bottom"/>
    </w:pPr>
    <w:rPr>
      <w:rFonts w:ascii="宋体" w:hAnsi="???|CS?o｡ﾀ?" w:eastAsia="宋体" w:cs="Times New Roman"/>
      <w:kern w:val="0"/>
      <w:sz w:val="20"/>
      <w:szCs w:val="28"/>
      <w:lang w:val="en-US" w:eastAsia="zh-CN" w:bidi="ar-SA"/>
    </w:rPr>
  </w:style>
  <w:style w:type="paragraph" w:customStyle="1" w:styleId="70">
    <w:name w:val="Default"/>
    <w:qFormat/>
    <w:uiPriority w:val="0"/>
    <w:pPr>
      <w:widowControl w:val="0"/>
      <w:autoSpaceDE w:val="0"/>
      <w:autoSpaceDN w:val="0"/>
      <w:adjustRightInd w:val="0"/>
    </w:pPr>
    <w:rPr>
      <w:rFonts w:ascii="宋体" w:hAnsi="等线" w:eastAsia="等线" w:cs="宋体"/>
      <w:color w:val="000000"/>
      <w:kern w:val="0"/>
      <w:sz w:val="24"/>
      <w:szCs w:val="24"/>
      <w:lang w:val="en-US" w:eastAsia="zh-CN" w:bidi="ar-SA"/>
    </w:rPr>
  </w:style>
  <w:style w:type="paragraph" w:customStyle="1" w:styleId="71">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paragraph" w:customStyle="1" w:styleId="72">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73">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74">
    <w:name w:val="Char Char8"/>
    <w:basedOn w:val="1"/>
    <w:qFormat/>
    <w:uiPriority w:val="0"/>
    <w:pPr>
      <w:autoSpaceDE w:val="0"/>
      <w:autoSpaceDN w:val="0"/>
      <w:snapToGrid w:val="0"/>
      <w:spacing w:line="360" w:lineRule="auto"/>
      <w:jc w:val="left"/>
    </w:pPr>
    <w:rPr>
      <w:rFonts w:ascii="Tahoma" w:hAnsi="Tahoma" w:eastAsia="宋体" w:cs="宋体"/>
      <w:kern w:val="0"/>
      <w:sz w:val="24"/>
    </w:rPr>
  </w:style>
  <w:style w:type="character" w:customStyle="1" w:styleId="75">
    <w:name w:val="p12"/>
    <w:qFormat/>
    <w:uiPriority w:val="0"/>
  </w:style>
  <w:style w:type="paragraph" w:customStyle="1" w:styleId="76">
    <w:name w:val="1"/>
    <w:basedOn w:val="1"/>
    <w:next w:val="62"/>
    <w:qFormat/>
    <w:uiPriority w:val="34"/>
    <w:pPr>
      <w:autoSpaceDE w:val="0"/>
      <w:autoSpaceDN w:val="0"/>
      <w:ind w:firstLine="420" w:firstLineChars="200"/>
      <w:jc w:val="left"/>
    </w:pPr>
    <w:rPr>
      <w:rFonts w:ascii="宋体" w:hAnsi="宋体" w:eastAsia="宋体" w:cs="宋体"/>
      <w:kern w:val="0"/>
      <w:sz w:val="22"/>
      <w:szCs w:val="24"/>
    </w:rPr>
  </w:style>
  <w:style w:type="paragraph" w:customStyle="1" w:styleId="77">
    <w:name w:val="列出段落1"/>
    <w:basedOn w:val="1"/>
    <w:unhideWhenUsed/>
    <w:qFormat/>
    <w:uiPriority w:val="99"/>
    <w:pPr>
      <w:autoSpaceDE w:val="0"/>
      <w:autoSpaceDN w:val="0"/>
      <w:ind w:firstLine="420" w:firstLineChars="200"/>
      <w:jc w:val="left"/>
    </w:pPr>
    <w:rPr>
      <w:rFonts w:ascii="宋体" w:hAnsi="宋体" w:eastAsia="宋体" w:cs="宋体"/>
      <w:kern w:val="0"/>
      <w:sz w:val="22"/>
    </w:rPr>
  </w:style>
  <w:style w:type="character" w:customStyle="1" w:styleId="78">
    <w:name w:val="批注框文本 Char"/>
    <w:basedOn w:val="29"/>
    <w:link w:val="16"/>
    <w:semiHidden/>
    <w:qFormat/>
    <w:uiPriority w:val="99"/>
    <w:rPr>
      <w:rFonts w:ascii="宋体" w:hAnsi="宋体" w:eastAsia="宋体" w:cs="宋体"/>
      <w:kern w:val="0"/>
      <w:sz w:val="18"/>
      <w:szCs w:val="18"/>
    </w:rPr>
  </w:style>
  <w:style w:type="paragraph" w:customStyle="1" w:styleId="79">
    <w:name w:val="正文_1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
    <w:name w:val="font41"/>
    <w:basedOn w:val="29"/>
    <w:qFormat/>
    <w:uiPriority w:val="0"/>
    <w:rPr>
      <w:rFonts w:hint="eastAsia" w:ascii="黑体" w:hAnsi="宋体" w:eastAsia="黑体" w:cs="黑体"/>
      <w:color w:val="000000"/>
      <w:sz w:val="14"/>
      <w:szCs w:val="14"/>
      <w:u w:val="none"/>
    </w:rPr>
  </w:style>
  <w:style w:type="character" w:customStyle="1" w:styleId="81">
    <w:name w:val="font51"/>
    <w:basedOn w:val="29"/>
    <w:qFormat/>
    <w:uiPriority w:val="0"/>
    <w:rPr>
      <w:rFonts w:hint="eastAsia" w:ascii="黑体" w:hAnsi="宋体" w:eastAsia="黑体" w:cs="黑体"/>
      <w:color w:val="000000"/>
      <w:sz w:val="14"/>
      <w:szCs w:val="14"/>
      <w:u w:val="none"/>
    </w:rPr>
  </w:style>
  <w:style w:type="character" w:customStyle="1" w:styleId="82">
    <w:name w:val="font61"/>
    <w:basedOn w:val="29"/>
    <w:qFormat/>
    <w:uiPriority w:val="0"/>
    <w:rPr>
      <w:rFonts w:ascii="Symbol" w:hAnsi="Symbol" w:cs="Symbol"/>
      <w:color w:val="000000"/>
      <w:sz w:val="14"/>
      <w:szCs w:val="14"/>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8.jpeg"/><Relationship Id="rId98" Type="http://schemas.openxmlformats.org/officeDocument/2006/relationships/image" Target="media/image87.jpeg"/><Relationship Id="rId97" Type="http://schemas.openxmlformats.org/officeDocument/2006/relationships/image" Target="media/image86.jpeg"/><Relationship Id="rId96" Type="http://schemas.openxmlformats.org/officeDocument/2006/relationships/image" Target="media/image85.jpeg"/><Relationship Id="rId95" Type="http://schemas.openxmlformats.org/officeDocument/2006/relationships/image" Target="media/image84.jpeg"/><Relationship Id="rId94" Type="http://schemas.openxmlformats.org/officeDocument/2006/relationships/image" Target="media/image83.jpeg"/><Relationship Id="rId93" Type="http://schemas.openxmlformats.org/officeDocument/2006/relationships/image" Target="media/image82.jpeg"/><Relationship Id="rId92" Type="http://schemas.openxmlformats.org/officeDocument/2006/relationships/image" Target="media/image81.jpeg"/><Relationship Id="rId91" Type="http://schemas.openxmlformats.org/officeDocument/2006/relationships/image" Target="media/image80.jpeg"/><Relationship Id="rId90" Type="http://schemas.openxmlformats.org/officeDocument/2006/relationships/image" Target="media/image79.jpeg"/><Relationship Id="rId9" Type="http://schemas.openxmlformats.org/officeDocument/2006/relationships/footer" Target="footer6.xml"/><Relationship Id="rId89" Type="http://schemas.openxmlformats.org/officeDocument/2006/relationships/image" Target="media/image78.jpeg"/><Relationship Id="rId88" Type="http://schemas.openxmlformats.org/officeDocument/2006/relationships/image" Target="media/image77.jpeg"/><Relationship Id="rId87" Type="http://schemas.openxmlformats.org/officeDocument/2006/relationships/image" Target="media/image76.jpeg"/><Relationship Id="rId86" Type="http://schemas.openxmlformats.org/officeDocument/2006/relationships/image" Target="media/image75.jpeg"/><Relationship Id="rId85" Type="http://schemas.openxmlformats.org/officeDocument/2006/relationships/image" Target="media/image74.jpeg"/><Relationship Id="rId84" Type="http://schemas.openxmlformats.org/officeDocument/2006/relationships/image" Target="media/image73.jpeg"/><Relationship Id="rId83" Type="http://schemas.openxmlformats.org/officeDocument/2006/relationships/image" Target="media/image72.jpe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footer" Target="footer5.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4.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3.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pn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0" Type="http://schemas.openxmlformats.org/officeDocument/2006/relationships/fontTable" Target="fontTable.xml"/><Relationship Id="rId11" Type="http://schemas.openxmlformats.org/officeDocument/2006/relationships/theme" Target="theme/theme1.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96.jpeg"/><Relationship Id="rId106" Type="http://schemas.openxmlformats.org/officeDocument/2006/relationships/image" Target="media/image95.png"/><Relationship Id="rId105" Type="http://schemas.openxmlformats.org/officeDocument/2006/relationships/image" Target="media/image94.jpeg"/><Relationship Id="rId104" Type="http://schemas.openxmlformats.org/officeDocument/2006/relationships/image" Target="media/image93.jpeg"/><Relationship Id="rId103" Type="http://schemas.openxmlformats.org/officeDocument/2006/relationships/image" Target="media/image92.jpeg"/><Relationship Id="rId102" Type="http://schemas.openxmlformats.org/officeDocument/2006/relationships/image" Target="media/image91.jpeg"/><Relationship Id="rId101" Type="http://schemas.openxmlformats.org/officeDocument/2006/relationships/image" Target="media/image90.jpeg"/><Relationship Id="rId100" Type="http://schemas.openxmlformats.org/officeDocument/2006/relationships/image" Target="media/image89.jpeg"/><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60243</Words>
  <Characters>70570</Characters>
  <Lines>384</Lines>
  <Paragraphs>108</Paragraphs>
  <TotalTime>14</TotalTime>
  <ScaleCrop>false</ScaleCrop>
  <LinksUpToDate>false</LinksUpToDate>
  <CharactersWithSpaces>75174</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2022-06-17T07:57:00Z</dcterms:created>
  <dc:creator>admin</dc:creator>
  <cp:lastModifiedBy>hp610a</cp:lastModifiedBy>
  <cp:lastPrinted>2022-10-31T07:44:00Z</cp:lastPrinted>
  <dcterms:modified xsi:type="dcterms:W3CDTF">2023-10-25T02:18:44Z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6EC4FCFFB82649A68D6837B7B1A6416E</vt:lpwstr>
  </property>
</Properties>
</file>