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432" w:lineRule="atLeast"/>
        <w:jc w:val="center"/>
        <w:rPr>
          <w:rFonts w:hint="eastAsia" w:ascii="宋体" w:hAnsi="宋体" w:cs="宋体"/>
          <w:b/>
          <w:bCs/>
          <w:color w:val="000000"/>
          <w:kern w:val="0"/>
          <w:sz w:val="36"/>
          <w:szCs w:val="36"/>
          <w:lang w:val="en-US" w:eastAsia="zh-CN"/>
        </w:rPr>
      </w:pPr>
      <w:r>
        <w:rPr>
          <w:rFonts w:hint="eastAsia" w:ascii="宋体" w:hAnsi="宋体" w:cs="宋体"/>
          <w:b/>
          <w:bCs/>
          <w:color w:val="000000"/>
          <w:kern w:val="0"/>
          <w:sz w:val="36"/>
          <w:szCs w:val="36"/>
          <w:lang w:val="en-US" w:eastAsia="zh-CN"/>
        </w:rPr>
        <w:t>海盐县农业农村局（海盐县粮食和物资储备局）</w:t>
      </w:r>
    </w:p>
    <w:p>
      <w:pPr>
        <w:widowControl/>
        <w:spacing w:line="432" w:lineRule="atLeast"/>
        <w:jc w:val="center"/>
        <w:rPr>
          <w:rFonts w:hint="eastAsia" w:ascii="宋体" w:hAnsi="宋体" w:cs="宋体"/>
          <w:b/>
          <w:bCs/>
          <w:color w:val="000000"/>
          <w:kern w:val="0"/>
          <w:sz w:val="36"/>
          <w:szCs w:val="36"/>
        </w:rPr>
      </w:pPr>
      <w:r>
        <w:rPr>
          <w:rFonts w:hint="eastAsia" w:ascii="宋体" w:hAnsi="宋体" w:cs="宋体"/>
          <w:b/>
          <w:bCs/>
          <w:color w:val="000000"/>
          <w:kern w:val="0"/>
          <w:sz w:val="36"/>
          <w:szCs w:val="36"/>
        </w:rPr>
        <w:t>2019年度政府信息公开工作年度报告</w:t>
      </w:r>
    </w:p>
    <w:p>
      <w:pPr>
        <w:keepNext w:val="0"/>
        <w:keepLines w:val="0"/>
        <w:pageBreakBefore w:val="0"/>
        <w:widowControl/>
        <w:kinsoku/>
        <w:wordWrap/>
        <w:overflowPunct/>
        <w:topLinePunct w:val="0"/>
        <w:autoSpaceDE/>
        <w:autoSpaceDN/>
        <w:bidi w:val="0"/>
        <w:adjustRightInd/>
        <w:snapToGrid/>
        <w:spacing w:after="240" w:line="480" w:lineRule="auto"/>
        <w:ind w:left="0" w:leftChars="0" w:right="0" w:rightChars="0" w:firstLine="480" w:firstLineChars="0"/>
        <w:jc w:val="both"/>
        <w:textAlignment w:val="auto"/>
        <w:outlineLvl w:val="9"/>
        <w:rPr>
          <w:rFonts w:hint="eastAsia" w:ascii="宋体" w:hAnsi="宋体" w:cs="宋体"/>
          <w:color w:val="000000"/>
          <w:kern w:val="0"/>
          <w:sz w:val="24"/>
        </w:rPr>
      </w:pPr>
    </w:p>
    <w:p>
      <w:pPr>
        <w:keepNext w:val="0"/>
        <w:keepLines w:val="0"/>
        <w:pageBreakBefore w:val="0"/>
        <w:widowControl/>
        <w:kinsoku/>
        <w:wordWrap/>
        <w:overflowPunct/>
        <w:topLinePunct w:val="0"/>
        <w:autoSpaceDE/>
        <w:autoSpaceDN/>
        <w:bidi w:val="0"/>
        <w:adjustRightInd/>
        <w:snapToGrid/>
        <w:spacing w:after="240" w:line="480" w:lineRule="auto"/>
        <w:ind w:left="0" w:leftChars="0" w:right="0" w:rightChars="0" w:firstLine="480" w:firstLineChars="0"/>
        <w:jc w:val="both"/>
        <w:textAlignment w:val="auto"/>
        <w:outlineLvl w:val="9"/>
        <w:rPr>
          <w:rFonts w:hint="eastAsia" w:ascii="宋体" w:hAnsi="宋体" w:cs="宋体"/>
          <w:color w:val="000000"/>
          <w:kern w:val="0"/>
          <w:sz w:val="24"/>
        </w:rPr>
      </w:pPr>
      <w:r>
        <w:rPr>
          <w:rFonts w:hint="eastAsia" w:ascii="宋体" w:hAnsi="宋体" w:cs="宋体"/>
          <w:color w:val="000000"/>
          <w:kern w:val="0"/>
          <w:sz w:val="24"/>
        </w:rPr>
        <w:t>本年报根据《中华人民共和国政府信息公开条例</w:t>
      </w:r>
      <w:r>
        <w:rPr>
          <w:rFonts w:hint="eastAsia" w:ascii="宋体" w:hAnsi="宋体" w:cs="宋体"/>
          <w:color w:val="000000"/>
          <w:kern w:val="0"/>
          <w:sz w:val="24"/>
          <w:lang w:val="en-US" w:eastAsia="zh-CN"/>
        </w:rPr>
        <w:t>》（国务院令第711号修订，以下简称《条例》），结合海盐县农业农村局（海盐县粮食和物资储备局）政府信息公开工作实际情况编制，</w:t>
      </w:r>
      <w:r>
        <w:rPr>
          <w:rFonts w:hint="eastAsia" w:ascii="宋体" w:hAnsi="宋体" w:cs="宋体"/>
          <w:color w:val="000000"/>
          <w:kern w:val="0"/>
          <w:sz w:val="24"/>
        </w:rPr>
        <w:t>现向社会公布我局2019年度信息公开工作年度报告。本报告中所列数据的统计期限自2019年1月1日起至2019年12月31日止。如对本年度报告有疑问，请与海盐县</w:t>
      </w:r>
      <w:r>
        <w:rPr>
          <w:rFonts w:hint="eastAsia" w:ascii="宋体" w:hAnsi="宋体" w:cs="宋体"/>
          <w:color w:val="000000"/>
          <w:kern w:val="0"/>
          <w:sz w:val="24"/>
          <w:lang w:eastAsia="zh-CN"/>
        </w:rPr>
        <w:t>农业农村</w:t>
      </w:r>
      <w:r>
        <w:rPr>
          <w:rFonts w:hint="eastAsia" w:ascii="宋体" w:hAnsi="宋体" w:cs="宋体"/>
          <w:color w:val="000000"/>
          <w:kern w:val="0"/>
          <w:sz w:val="24"/>
        </w:rPr>
        <w:t>局联系（地址：武原街道</w:t>
      </w:r>
      <w:r>
        <w:rPr>
          <w:rFonts w:hint="eastAsia" w:ascii="宋体" w:hAnsi="宋体" w:cs="宋体"/>
          <w:color w:val="000000"/>
          <w:kern w:val="0"/>
          <w:sz w:val="24"/>
          <w:lang w:eastAsia="zh-CN"/>
        </w:rPr>
        <w:t>枣园西</w:t>
      </w:r>
      <w:r>
        <w:rPr>
          <w:rFonts w:hint="eastAsia" w:ascii="宋体" w:hAnsi="宋体" w:cs="宋体"/>
          <w:color w:val="000000"/>
          <w:kern w:val="0"/>
          <w:sz w:val="24"/>
        </w:rPr>
        <w:t>路</w:t>
      </w:r>
      <w:r>
        <w:rPr>
          <w:rFonts w:hint="eastAsia" w:ascii="宋体" w:hAnsi="宋体" w:cs="宋体"/>
          <w:color w:val="000000"/>
          <w:kern w:val="0"/>
          <w:sz w:val="24"/>
          <w:lang w:val="en-US" w:eastAsia="zh-CN"/>
        </w:rPr>
        <w:t>209</w:t>
      </w:r>
      <w:r>
        <w:rPr>
          <w:rFonts w:hint="eastAsia" w:ascii="宋体" w:hAnsi="宋体" w:cs="宋体"/>
          <w:color w:val="000000"/>
          <w:kern w:val="0"/>
          <w:sz w:val="24"/>
        </w:rPr>
        <w:t>号，邮编：314300，电话：</w:t>
      </w:r>
      <w:r>
        <w:rPr>
          <w:rFonts w:hint="eastAsia" w:ascii="宋体" w:hAnsi="宋体" w:cs="宋体"/>
          <w:color w:val="000000"/>
          <w:kern w:val="0"/>
          <w:sz w:val="24"/>
          <w:lang w:val="en-US" w:eastAsia="zh-CN"/>
        </w:rPr>
        <w:t>0573-86112120</w:t>
      </w:r>
      <w:r>
        <w:rPr>
          <w:rFonts w:hint="eastAsia" w:ascii="宋体" w:hAnsi="宋体" w:cs="宋体"/>
          <w:color w:val="000000"/>
          <w:kern w:val="0"/>
          <w:sz w:val="24"/>
        </w:rPr>
        <w:t>）。</w:t>
      </w:r>
    </w:p>
    <w:p>
      <w:pPr>
        <w:widowControl/>
        <w:spacing w:line="432" w:lineRule="atLeast"/>
        <w:ind w:firstLine="480"/>
        <w:rPr>
          <w:rFonts w:hint="eastAsia" w:ascii="宋体" w:hAnsi="宋体" w:cs="宋体"/>
          <w:color w:val="000000"/>
          <w:kern w:val="0"/>
          <w:sz w:val="24"/>
        </w:rPr>
      </w:pPr>
      <w:r>
        <w:rPr>
          <w:rFonts w:hint="eastAsia" w:ascii="宋体" w:hAnsi="宋体" w:cs="宋体"/>
          <w:b/>
          <w:bCs/>
          <w:color w:val="000000"/>
          <w:kern w:val="0"/>
          <w:sz w:val="24"/>
        </w:rPr>
        <w:t>一、总体情况</w:t>
      </w:r>
    </w:p>
    <w:p>
      <w:pPr>
        <w:keepNext w:val="0"/>
        <w:keepLines w:val="0"/>
        <w:pageBreakBefore w:val="0"/>
        <w:widowControl/>
        <w:kinsoku/>
        <w:wordWrap/>
        <w:overflowPunct/>
        <w:topLinePunct w:val="0"/>
        <w:autoSpaceDE/>
        <w:autoSpaceDN/>
        <w:bidi w:val="0"/>
        <w:adjustRightInd/>
        <w:snapToGrid/>
        <w:spacing w:after="240" w:line="480" w:lineRule="auto"/>
        <w:ind w:left="0" w:leftChars="0" w:right="0" w:rightChars="0" w:firstLine="480" w:firstLineChars="0"/>
        <w:jc w:val="both"/>
        <w:textAlignment w:val="auto"/>
        <w:outlineLvl w:val="9"/>
        <w:rPr>
          <w:rFonts w:hint="eastAsia" w:ascii="宋体" w:hAnsi="宋体" w:cs="宋体"/>
          <w:b w:val="0"/>
          <w:bCs w:val="0"/>
          <w:color w:val="000000"/>
          <w:kern w:val="0"/>
          <w:sz w:val="24"/>
          <w:lang w:val="en-US" w:eastAsia="zh-CN"/>
        </w:rPr>
      </w:pPr>
      <w:r>
        <w:rPr>
          <w:rFonts w:hint="eastAsia" w:ascii="宋体" w:hAnsi="宋体" w:cs="宋体"/>
          <w:color w:val="000000"/>
          <w:kern w:val="0"/>
          <w:sz w:val="24"/>
        </w:rPr>
        <w:t>201</w:t>
      </w:r>
      <w:r>
        <w:rPr>
          <w:rFonts w:hint="eastAsia" w:ascii="宋体" w:hAnsi="宋体" w:cs="宋体"/>
          <w:color w:val="000000"/>
          <w:kern w:val="0"/>
          <w:sz w:val="24"/>
          <w:lang w:val="en-US" w:eastAsia="zh-CN"/>
        </w:rPr>
        <w:t>9年度</w:t>
      </w:r>
      <w:r>
        <w:rPr>
          <w:rFonts w:hint="eastAsia" w:ascii="宋体" w:hAnsi="宋体" w:cs="宋体"/>
          <w:color w:val="000000"/>
          <w:kern w:val="0"/>
          <w:sz w:val="24"/>
        </w:rPr>
        <w:t>，</w:t>
      </w:r>
      <w:r>
        <w:rPr>
          <w:rFonts w:hint="eastAsia" w:ascii="宋体" w:hAnsi="宋体" w:cs="宋体"/>
          <w:color w:val="000000"/>
          <w:kern w:val="0"/>
          <w:sz w:val="24"/>
          <w:lang w:val="en-US" w:eastAsia="zh-CN"/>
        </w:rPr>
        <w:t>海盐县</w:t>
      </w:r>
      <w:r>
        <w:rPr>
          <w:rFonts w:hint="eastAsia" w:ascii="宋体" w:hAnsi="宋体" w:cs="宋体"/>
          <w:color w:val="000000"/>
          <w:kern w:val="0"/>
          <w:sz w:val="24"/>
          <w:lang w:eastAsia="zh-CN"/>
        </w:rPr>
        <w:t>农业农村局（海盐县粮食和物资储备局）</w:t>
      </w:r>
      <w:r>
        <w:rPr>
          <w:rFonts w:hint="eastAsia" w:ascii="宋体" w:hAnsi="宋体" w:cs="宋体"/>
          <w:color w:val="000000"/>
          <w:kern w:val="0"/>
          <w:sz w:val="24"/>
        </w:rPr>
        <w:t>认真贯彻落实《条例》，按照上级部门的要求，精心组织，突出重点，强化督查,狠抓落实，政府信息公开工作扎实推进，在保障公民、法人和其他组织依法获取</w:t>
      </w:r>
      <w:r>
        <w:rPr>
          <w:rFonts w:hint="eastAsia" w:ascii="宋体" w:hAnsi="宋体" w:cs="宋体"/>
          <w:color w:val="000000"/>
          <w:kern w:val="0"/>
          <w:sz w:val="24"/>
          <w:lang w:val="en-US" w:eastAsia="zh-CN"/>
        </w:rPr>
        <w:t>县</w:t>
      </w:r>
      <w:r>
        <w:rPr>
          <w:rFonts w:hint="eastAsia" w:ascii="宋体" w:hAnsi="宋体" w:cs="宋体"/>
          <w:color w:val="000000"/>
          <w:kern w:val="0"/>
          <w:sz w:val="24"/>
          <w:lang w:eastAsia="zh-CN"/>
        </w:rPr>
        <w:t>农业农村局（县粮食和物资储备局）</w:t>
      </w:r>
      <w:r>
        <w:rPr>
          <w:rFonts w:hint="eastAsia" w:ascii="宋体" w:hAnsi="宋体" w:cs="宋体"/>
          <w:color w:val="000000"/>
          <w:kern w:val="0"/>
          <w:sz w:val="24"/>
        </w:rPr>
        <w:t>政府信息</w:t>
      </w:r>
      <w:r>
        <w:rPr>
          <w:rFonts w:hint="eastAsia" w:ascii="宋体" w:hAnsi="宋体" w:cs="宋体"/>
          <w:color w:val="000000"/>
          <w:kern w:val="0"/>
          <w:sz w:val="24"/>
          <w:lang w:val="en-US" w:eastAsia="zh-CN"/>
        </w:rPr>
        <w:t>，提高业务工作透明度方面取得明显成效。按照《海盐县2019年</w:t>
      </w:r>
      <w:r>
        <w:rPr>
          <w:rFonts w:hint="eastAsia" w:ascii="宋体" w:hAnsi="宋体" w:cs="宋体"/>
          <w:b w:val="0"/>
          <w:bCs w:val="0"/>
          <w:color w:val="000000"/>
          <w:kern w:val="0"/>
          <w:sz w:val="24"/>
          <w:lang w:val="en-US" w:eastAsia="zh-CN"/>
        </w:rPr>
        <w:t>政务公开重点工作责任分解》（盐政办发〔2019〕48号）文件责任分解任务，围绕着眼稳定预期，加强政策解读和回应群众关切、强化权力监督，深入推进决策和执行公开、聚焦政策落实，深化重点领域信息公开、强化体制机制保障，较好地完成了全年政务公开工作任务。</w:t>
      </w:r>
    </w:p>
    <w:p>
      <w:pPr>
        <w:keepNext w:val="0"/>
        <w:keepLines w:val="0"/>
        <w:pageBreakBefore w:val="0"/>
        <w:widowControl/>
        <w:kinsoku/>
        <w:wordWrap/>
        <w:overflowPunct/>
        <w:topLinePunct w:val="0"/>
        <w:autoSpaceDE/>
        <w:autoSpaceDN/>
        <w:bidi w:val="0"/>
        <w:adjustRightInd/>
        <w:snapToGrid/>
        <w:spacing w:after="240" w:line="480" w:lineRule="auto"/>
        <w:ind w:left="0" w:leftChars="0" w:right="0" w:rightChars="0" w:firstLine="480" w:firstLineChars="0"/>
        <w:jc w:val="both"/>
        <w:textAlignment w:val="auto"/>
        <w:outlineLvl w:val="9"/>
        <w:rPr>
          <w:rFonts w:hint="eastAsia" w:ascii="宋体" w:hAnsi="宋体" w:cs="宋体"/>
          <w:b w:val="0"/>
          <w:bCs w:val="0"/>
          <w:color w:val="000000"/>
          <w:kern w:val="0"/>
          <w:sz w:val="24"/>
          <w:lang w:val="en-US" w:eastAsia="zh-CN"/>
        </w:rPr>
      </w:pPr>
      <w:r>
        <w:rPr>
          <w:rFonts w:hint="eastAsia" w:ascii="宋体" w:hAnsi="宋体" w:cs="宋体"/>
          <w:b/>
          <w:bCs/>
          <w:color w:val="000000"/>
          <w:kern w:val="0"/>
          <w:sz w:val="24"/>
          <w:lang w:val="en-US" w:eastAsia="zh-CN"/>
        </w:rPr>
        <w:t>主动公开政府信息情况：</w:t>
      </w:r>
      <w:r>
        <w:rPr>
          <w:rFonts w:hint="eastAsia" w:ascii="宋体" w:hAnsi="宋体" w:cs="宋体"/>
          <w:b w:val="0"/>
          <w:bCs w:val="0"/>
          <w:color w:val="000000"/>
          <w:kern w:val="0"/>
          <w:sz w:val="24"/>
          <w:lang w:val="en-US" w:eastAsia="zh-CN"/>
        </w:rPr>
        <w:t>2019年度，我局在中国•海盐门户网站主动公开各类信息419条（机构信息9条，政策文件43条，规划计划3条，工作信息259条，人事信息4条，财政信息5条，重点公开事项96条）,公开政府信息公开指南1条、年报1条、制度3条。</w:t>
      </w:r>
    </w:p>
    <w:p>
      <w:pPr>
        <w:keepNext w:val="0"/>
        <w:keepLines w:val="0"/>
        <w:pageBreakBefore w:val="0"/>
        <w:widowControl/>
        <w:kinsoku/>
        <w:wordWrap/>
        <w:overflowPunct/>
        <w:topLinePunct w:val="0"/>
        <w:autoSpaceDE/>
        <w:autoSpaceDN/>
        <w:bidi w:val="0"/>
        <w:adjustRightInd/>
        <w:snapToGrid/>
        <w:spacing w:after="240" w:line="480" w:lineRule="auto"/>
        <w:ind w:left="0" w:leftChars="0" w:right="0" w:rightChars="0" w:firstLine="480" w:firstLineChars="0"/>
        <w:jc w:val="both"/>
        <w:textAlignment w:val="auto"/>
        <w:outlineLvl w:val="9"/>
        <w:rPr>
          <w:rFonts w:hint="eastAsia" w:ascii="宋体" w:hAnsi="宋体" w:cs="宋体"/>
          <w:b w:val="0"/>
          <w:bCs w:val="0"/>
          <w:color w:val="000000"/>
          <w:kern w:val="0"/>
          <w:sz w:val="24"/>
          <w:lang w:val="en-US" w:eastAsia="zh-CN"/>
        </w:rPr>
      </w:pPr>
      <w:r>
        <w:rPr>
          <w:rFonts w:hint="eastAsia" w:ascii="宋体" w:hAnsi="宋体" w:cs="宋体"/>
          <w:b/>
          <w:bCs/>
          <w:color w:val="000000"/>
          <w:kern w:val="0"/>
          <w:sz w:val="24"/>
          <w:lang w:val="en-US" w:eastAsia="zh-CN"/>
        </w:rPr>
        <w:t>重点公开内容：</w:t>
      </w:r>
      <w:r>
        <w:rPr>
          <w:rFonts w:hint="eastAsia" w:ascii="宋体" w:hAnsi="宋体" w:cs="宋体"/>
          <w:b w:val="0"/>
          <w:bCs w:val="0"/>
          <w:color w:val="000000"/>
          <w:kern w:val="0"/>
          <w:sz w:val="24"/>
          <w:lang w:val="en-US" w:eastAsia="zh-CN"/>
        </w:rPr>
        <w:t>按照《海盐县2019年政务公开重点工作责任分解》要求，加强重大决策预公开和政策解读，公开规范性文件4件、相应政策解读4件，公开征求意见稿8条、相关反馈情况8条；加强扶贫开发工作公开力度，公开相关信息492条；加强建议和提案办理结果公开，共公开35件；加强农产品质量安全工作信息发布，开展食品安全知识和法规培训34次，广场宣传活动6次，发放相关农产品质量安全资料3500余份，发布新媒体宣传文章19篇，报纸宣传文章3篇，专版2期；加强行政处罚结果、行政监管事项、行政权力事项公开，完善并公开631项权力事项，浙江政务服务网上公开全年办理行政处罚案件113件；加强农村集体资产产权交易信息公开，累计公开农村集体资产产权交易信息114条；加强农产品价格信息公开，发布海盐县农副产品综合市场的农产品价格信息、海盐粮油价格动态77条；加强财政资金信息公开，决算全部公开，“三公经费”详细公开，符合财政资金补助政策的粮食生产项目、农业产业项目、基础设施建设项目等，按程序在门户网站、乡镇、村进行公示，确保项目经得起监督，全年累计公示21次。</w:t>
      </w:r>
    </w:p>
    <w:p>
      <w:pPr>
        <w:keepNext w:val="0"/>
        <w:keepLines w:val="0"/>
        <w:pageBreakBefore w:val="0"/>
        <w:widowControl/>
        <w:kinsoku/>
        <w:wordWrap/>
        <w:overflowPunct/>
        <w:topLinePunct w:val="0"/>
        <w:autoSpaceDE/>
        <w:autoSpaceDN/>
        <w:bidi w:val="0"/>
        <w:adjustRightInd/>
        <w:snapToGrid/>
        <w:spacing w:after="240" w:line="480" w:lineRule="auto"/>
        <w:ind w:left="0" w:leftChars="0" w:right="0" w:rightChars="0" w:firstLine="480" w:firstLineChars="0"/>
        <w:jc w:val="both"/>
        <w:textAlignment w:val="auto"/>
        <w:outlineLvl w:val="9"/>
        <w:rPr>
          <w:rFonts w:hint="eastAsia" w:ascii="宋体" w:hAnsi="宋体" w:eastAsia="宋体" w:cs="宋体"/>
          <w:b w:val="0"/>
          <w:bCs w:val="0"/>
          <w:color w:val="000000"/>
          <w:kern w:val="0"/>
          <w:sz w:val="24"/>
          <w:lang w:eastAsia="zh-CN"/>
        </w:rPr>
      </w:pPr>
      <w:r>
        <w:rPr>
          <w:rFonts w:hint="eastAsia" w:ascii="宋体" w:hAnsi="宋体" w:eastAsia="宋体" w:cs="宋体"/>
          <w:b/>
          <w:bCs/>
          <w:color w:val="000000"/>
          <w:kern w:val="0"/>
          <w:sz w:val="24"/>
        </w:rPr>
        <w:t>依申请公开情况：</w:t>
      </w:r>
      <w:r>
        <w:rPr>
          <w:rFonts w:hint="eastAsia" w:ascii="宋体" w:hAnsi="宋体" w:eastAsia="宋体" w:cs="宋体"/>
          <w:b w:val="0"/>
          <w:bCs w:val="0"/>
          <w:color w:val="000000"/>
          <w:kern w:val="0"/>
          <w:sz w:val="24"/>
          <w:lang w:eastAsia="zh-CN"/>
        </w:rPr>
        <w:t>我局结合实际情况</w:t>
      </w:r>
      <w:r>
        <w:rPr>
          <w:rFonts w:hint="eastAsia" w:ascii="宋体" w:hAnsi="宋体" w:eastAsia="宋体" w:cs="宋体"/>
          <w:b w:val="0"/>
          <w:bCs w:val="0"/>
          <w:color w:val="000000"/>
          <w:kern w:val="0"/>
          <w:sz w:val="24"/>
        </w:rPr>
        <w:t>，</w:t>
      </w:r>
      <w:r>
        <w:rPr>
          <w:rFonts w:hint="eastAsia" w:ascii="宋体" w:hAnsi="宋体" w:eastAsia="宋体" w:cs="宋体"/>
          <w:b w:val="0"/>
          <w:bCs w:val="0"/>
          <w:color w:val="000000"/>
          <w:kern w:val="0"/>
          <w:sz w:val="24"/>
          <w:lang w:eastAsia="zh-CN"/>
        </w:rPr>
        <w:t>修改完善依申请公开工作制度，在门户网站“政府信息公开”专栏公布《海盐县农业农村局政府信息依申请公开管理办法（试行）》，从制度上保障我局依申请公开工作顺利开展。根据法律法规，在办理依申请公开时认真答复，将答复书、回执、相关附件等纸质稿提供给申请人并留底，做到一件一存档。</w:t>
      </w:r>
      <w:r>
        <w:rPr>
          <w:rFonts w:hint="eastAsia" w:ascii="宋体" w:hAnsi="宋体" w:eastAsia="宋体" w:cs="宋体"/>
          <w:b w:val="0"/>
          <w:bCs w:val="0"/>
          <w:color w:val="000000"/>
          <w:kern w:val="0"/>
          <w:sz w:val="24"/>
        </w:rPr>
        <w:t>本年度我局</w:t>
      </w:r>
      <w:r>
        <w:rPr>
          <w:rFonts w:hint="eastAsia" w:ascii="宋体" w:hAnsi="宋体" w:eastAsia="宋体" w:cs="宋体"/>
          <w:b w:val="0"/>
          <w:bCs w:val="0"/>
          <w:color w:val="000000"/>
          <w:kern w:val="0"/>
          <w:sz w:val="24"/>
          <w:lang w:eastAsia="zh-CN"/>
        </w:rPr>
        <w:t>共</w:t>
      </w:r>
      <w:r>
        <w:rPr>
          <w:rFonts w:hint="eastAsia" w:ascii="宋体" w:hAnsi="宋体" w:eastAsia="宋体" w:cs="宋体"/>
          <w:b w:val="0"/>
          <w:bCs w:val="0"/>
          <w:color w:val="000000"/>
          <w:kern w:val="0"/>
          <w:sz w:val="24"/>
        </w:rPr>
        <w:t>收到</w:t>
      </w:r>
      <w:r>
        <w:rPr>
          <w:rFonts w:hint="eastAsia" w:ascii="宋体" w:hAnsi="宋体" w:eastAsia="宋体" w:cs="宋体"/>
          <w:b w:val="0"/>
          <w:bCs w:val="0"/>
          <w:color w:val="000000"/>
          <w:kern w:val="0"/>
          <w:sz w:val="24"/>
          <w:lang w:val="en-US" w:eastAsia="zh-CN"/>
        </w:rPr>
        <w:t>5件</w:t>
      </w:r>
      <w:r>
        <w:rPr>
          <w:rFonts w:hint="eastAsia" w:ascii="宋体" w:hAnsi="宋体" w:eastAsia="宋体" w:cs="宋体"/>
          <w:b w:val="0"/>
          <w:bCs w:val="0"/>
          <w:color w:val="000000"/>
          <w:kern w:val="0"/>
          <w:sz w:val="24"/>
        </w:rPr>
        <w:t>政府信息公开依申请事项</w:t>
      </w:r>
      <w:r>
        <w:rPr>
          <w:rFonts w:hint="eastAsia" w:ascii="宋体" w:hAnsi="宋体" w:eastAsia="宋体" w:cs="宋体"/>
          <w:b w:val="0"/>
          <w:bCs w:val="0"/>
          <w:color w:val="000000"/>
          <w:kern w:val="0"/>
          <w:sz w:val="24"/>
          <w:lang w:eastAsia="zh-CN"/>
        </w:rPr>
        <w:t>，其中纸质申请</w:t>
      </w:r>
      <w:r>
        <w:rPr>
          <w:rFonts w:hint="eastAsia" w:ascii="宋体" w:hAnsi="宋体" w:eastAsia="宋体" w:cs="宋体"/>
          <w:b w:val="0"/>
          <w:bCs w:val="0"/>
          <w:color w:val="000000"/>
          <w:kern w:val="0"/>
          <w:sz w:val="24"/>
          <w:lang w:val="en-US" w:eastAsia="zh-CN"/>
        </w:rPr>
        <w:t>3件，网上申请2件</w:t>
      </w:r>
      <w:r>
        <w:rPr>
          <w:rFonts w:hint="eastAsia" w:ascii="宋体" w:hAnsi="宋体" w:eastAsia="宋体" w:cs="宋体"/>
          <w:b w:val="0"/>
          <w:bCs w:val="0"/>
          <w:color w:val="000000"/>
          <w:kern w:val="0"/>
          <w:sz w:val="24"/>
          <w:lang w:eastAsia="zh-CN"/>
        </w:rPr>
        <w:t>，均及时依法依规办结</w:t>
      </w:r>
      <w:r>
        <w:rPr>
          <w:rFonts w:hint="eastAsia" w:ascii="宋体" w:hAnsi="宋体" w:eastAsia="宋体" w:cs="宋体"/>
          <w:b w:val="0"/>
          <w:bCs w:val="0"/>
          <w:color w:val="000000"/>
          <w:kern w:val="0"/>
          <w:sz w:val="24"/>
        </w:rPr>
        <w:t>。</w:t>
      </w:r>
    </w:p>
    <w:p>
      <w:pPr>
        <w:keepNext w:val="0"/>
        <w:keepLines w:val="0"/>
        <w:pageBreakBefore w:val="0"/>
        <w:widowControl/>
        <w:kinsoku/>
        <w:wordWrap/>
        <w:overflowPunct/>
        <w:topLinePunct w:val="0"/>
        <w:autoSpaceDE/>
        <w:autoSpaceDN/>
        <w:bidi w:val="0"/>
        <w:adjustRightInd/>
        <w:snapToGrid/>
        <w:spacing w:after="240" w:line="480" w:lineRule="auto"/>
        <w:ind w:left="0" w:leftChars="0" w:right="0" w:rightChars="0" w:firstLine="480" w:firstLineChars="0"/>
        <w:jc w:val="both"/>
        <w:textAlignment w:val="auto"/>
        <w:outlineLvl w:val="9"/>
        <w:rPr>
          <w:rFonts w:hint="eastAsia" w:ascii="宋体" w:hAnsi="宋体" w:cs="宋体"/>
          <w:color w:val="000000"/>
          <w:kern w:val="0"/>
          <w:sz w:val="24"/>
          <w:lang w:val="en-US" w:eastAsia="zh-CN"/>
        </w:rPr>
      </w:pPr>
      <w:r>
        <w:rPr>
          <w:rFonts w:hint="eastAsia" w:ascii="宋体" w:hAnsi="宋体" w:eastAsia="宋体" w:cs="宋体"/>
          <w:b/>
          <w:bCs/>
          <w:color w:val="000000"/>
          <w:kern w:val="0"/>
          <w:sz w:val="24"/>
        </w:rPr>
        <w:t>政府信息管理情况：</w:t>
      </w:r>
      <w:r>
        <w:rPr>
          <w:rFonts w:hint="eastAsia" w:ascii="宋体" w:hAnsi="宋体" w:cs="宋体"/>
          <w:color w:val="000000"/>
          <w:kern w:val="0"/>
          <w:sz w:val="24"/>
          <w:lang w:val="en-US" w:eastAsia="zh-CN"/>
        </w:rPr>
        <w:t>根据人员变动，我局及时调整政府信息公开领导小组成员，完善相关规章制度，明确局属各单位工作要点，在政府信息公开前，要求局属各单位按照相关科室分管领导——局保密小组——信息公开分管领导——局长审批流程进行审核签字，并将审核表上交，做到公开前审核，审核完公开，不审核不公开，并落实专人负责政府信息公开内容的收集整理、对外发布、资料存档等日常工作。</w:t>
      </w:r>
    </w:p>
    <w:p>
      <w:pPr>
        <w:keepNext w:val="0"/>
        <w:keepLines w:val="0"/>
        <w:pageBreakBefore w:val="0"/>
        <w:widowControl/>
        <w:kinsoku/>
        <w:wordWrap/>
        <w:overflowPunct/>
        <w:topLinePunct w:val="0"/>
        <w:autoSpaceDE/>
        <w:autoSpaceDN/>
        <w:bidi w:val="0"/>
        <w:adjustRightInd/>
        <w:snapToGrid/>
        <w:spacing w:after="240" w:line="480" w:lineRule="auto"/>
        <w:ind w:left="0" w:leftChars="0" w:right="0" w:rightChars="0" w:firstLine="480" w:firstLineChars="0"/>
        <w:jc w:val="both"/>
        <w:textAlignment w:val="auto"/>
        <w:outlineLvl w:val="9"/>
        <w:rPr>
          <w:rFonts w:hint="eastAsia" w:ascii="宋体" w:hAnsi="宋体" w:cs="宋体"/>
          <w:color w:val="000000"/>
          <w:kern w:val="0"/>
          <w:sz w:val="24"/>
          <w:lang w:val="en-US" w:eastAsia="zh-CN"/>
        </w:rPr>
      </w:pPr>
      <w:r>
        <w:rPr>
          <w:rFonts w:hint="eastAsia" w:ascii="宋体" w:hAnsi="宋体" w:eastAsia="宋体" w:cs="宋体"/>
          <w:b/>
          <w:bCs/>
          <w:color w:val="000000"/>
          <w:kern w:val="0"/>
          <w:sz w:val="24"/>
        </w:rPr>
        <w:t>政府信息公开平台建设情况</w:t>
      </w:r>
      <w:r>
        <w:rPr>
          <w:rFonts w:hint="eastAsia" w:ascii="宋体" w:hAnsi="宋体" w:eastAsia="宋体" w:cs="宋体"/>
          <w:b/>
          <w:bCs/>
          <w:color w:val="000000"/>
          <w:kern w:val="0"/>
          <w:sz w:val="24"/>
          <w:lang w:eastAsia="zh-CN"/>
        </w:rPr>
        <w:t>：</w:t>
      </w:r>
      <w:r>
        <w:rPr>
          <w:rFonts w:hint="eastAsia" w:ascii="宋体" w:hAnsi="宋体" w:eastAsia="宋体" w:cs="宋体"/>
          <w:b w:val="0"/>
          <w:bCs w:val="0"/>
          <w:color w:val="000000"/>
          <w:kern w:val="0"/>
          <w:sz w:val="24"/>
          <w:lang w:eastAsia="zh-CN"/>
        </w:rPr>
        <w:t>我局积极</w:t>
      </w:r>
      <w:r>
        <w:rPr>
          <w:rFonts w:hint="eastAsia" w:ascii="宋体" w:hAnsi="宋体" w:cs="宋体"/>
          <w:b w:val="0"/>
          <w:bCs w:val="0"/>
          <w:color w:val="000000"/>
          <w:kern w:val="0"/>
          <w:sz w:val="24"/>
          <w:lang w:val="en-US" w:eastAsia="zh-CN"/>
        </w:rPr>
        <w:t>发</w:t>
      </w:r>
      <w:r>
        <w:rPr>
          <w:rFonts w:hint="eastAsia" w:ascii="宋体" w:hAnsi="宋体" w:cs="宋体"/>
          <w:color w:val="000000"/>
          <w:kern w:val="0"/>
          <w:sz w:val="24"/>
          <w:lang w:val="en-US" w:eastAsia="zh-CN"/>
        </w:rPr>
        <w:t>挥新媒体优势，丰富信息公开渠道，以中国•海盐门户网站为主，浙江政务服务网、“海盐三农”微信公众号、“海盐三农”微博、“农安海盐”APP、浙江农民信箱等载体为辅，多载体、多角度、多方位公开相关工作动态、政策解读、农业技术等信息。</w:t>
      </w:r>
    </w:p>
    <w:p>
      <w:pPr>
        <w:keepNext w:val="0"/>
        <w:keepLines w:val="0"/>
        <w:pageBreakBefore w:val="0"/>
        <w:widowControl/>
        <w:kinsoku/>
        <w:wordWrap/>
        <w:overflowPunct/>
        <w:topLinePunct w:val="0"/>
        <w:autoSpaceDE/>
        <w:autoSpaceDN/>
        <w:bidi w:val="0"/>
        <w:adjustRightInd/>
        <w:snapToGrid/>
        <w:spacing w:after="240" w:line="480" w:lineRule="auto"/>
        <w:ind w:left="0" w:leftChars="0" w:right="0" w:rightChars="0" w:firstLine="480" w:firstLineChars="0"/>
        <w:jc w:val="both"/>
        <w:textAlignment w:val="auto"/>
        <w:outlineLvl w:val="9"/>
        <w:rPr>
          <w:rFonts w:hint="eastAsia" w:ascii="宋体" w:hAnsi="宋体" w:eastAsia="宋体" w:cs="宋体"/>
          <w:b w:val="0"/>
          <w:bCs w:val="0"/>
          <w:color w:val="000000"/>
          <w:kern w:val="0"/>
          <w:sz w:val="24"/>
        </w:rPr>
      </w:pPr>
      <w:r>
        <w:rPr>
          <w:rFonts w:hint="eastAsia" w:ascii="宋体" w:hAnsi="宋体" w:eastAsia="宋体" w:cs="宋体"/>
          <w:b/>
          <w:bCs/>
          <w:color w:val="000000"/>
          <w:kern w:val="0"/>
          <w:sz w:val="24"/>
        </w:rPr>
        <w:t>监督保障情况：</w:t>
      </w:r>
      <w:r>
        <w:rPr>
          <w:rFonts w:hint="eastAsia" w:ascii="宋体" w:hAnsi="宋体" w:eastAsia="宋体" w:cs="宋体"/>
          <w:b w:val="0"/>
          <w:bCs w:val="0"/>
          <w:color w:val="000000"/>
          <w:kern w:val="0"/>
          <w:sz w:val="24"/>
        </w:rPr>
        <w:t>公民、法人或者其他组织认为本机关未依法履行政府信息公开义务的，可以向上一级行政机关投诉和举报。按照《浙江省人民政府办公厅关于建设统一政务咨询投诉举报平台的指导意见》（浙政办发〔2015〕127号）规定，也可在浙江政务服务网的“统一政务咨询投诉举报平台”（http://zxts.zjzwfw.gov.cn/zwfwmail.do?method=Requestion&amp;xjlb=1&amp;webId=1）上进行投诉和举报。</w:t>
      </w:r>
    </w:p>
    <w:p>
      <w:pPr>
        <w:keepNext w:val="0"/>
        <w:keepLines w:val="0"/>
        <w:pageBreakBefore w:val="0"/>
        <w:widowControl/>
        <w:kinsoku/>
        <w:wordWrap/>
        <w:overflowPunct/>
        <w:topLinePunct w:val="0"/>
        <w:autoSpaceDE/>
        <w:autoSpaceDN/>
        <w:bidi w:val="0"/>
        <w:adjustRightInd/>
        <w:snapToGrid/>
        <w:spacing w:after="240" w:line="480" w:lineRule="auto"/>
        <w:ind w:left="0" w:leftChars="0" w:right="0" w:rightChars="0" w:firstLine="480" w:firstLineChars="0"/>
        <w:jc w:val="both"/>
        <w:textAlignment w:val="auto"/>
        <w:outlineLvl w:val="9"/>
        <w:rPr>
          <w:rFonts w:hint="eastAsia" w:ascii="宋体" w:hAnsi="宋体" w:eastAsia="宋体" w:cs="宋体"/>
          <w:b w:val="0"/>
          <w:bCs w:val="0"/>
          <w:color w:val="000000"/>
          <w:kern w:val="0"/>
          <w:sz w:val="24"/>
        </w:rPr>
      </w:pPr>
    </w:p>
    <w:p>
      <w:pPr>
        <w:keepNext w:val="0"/>
        <w:keepLines w:val="0"/>
        <w:pageBreakBefore w:val="0"/>
        <w:widowControl/>
        <w:kinsoku/>
        <w:wordWrap/>
        <w:overflowPunct/>
        <w:topLinePunct w:val="0"/>
        <w:autoSpaceDE/>
        <w:autoSpaceDN/>
        <w:bidi w:val="0"/>
        <w:adjustRightInd/>
        <w:snapToGrid/>
        <w:spacing w:after="240" w:line="480" w:lineRule="auto"/>
        <w:ind w:left="0" w:leftChars="0" w:right="0" w:rightChars="0" w:firstLine="480" w:firstLineChars="0"/>
        <w:jc w:val="both"/>
        <w:textAlignment w:val="auto"/>
        <w:outlineLvl w:val="9"/>
        <w:rPr>
          <w:rFonts w:hint="eastAsia" w:ascii="宋体" w:hAnsi="宋体" w:eastAsia="宋体" w:cs="宋体"/>
          <w:b w:val="0"/>
          <w:bCs w:val="0"/>
          <w:color w:val="000000"/>
          <w:kern w:val="0"/>
          <w:sz w:val="24"/>
          <w:lang w:val="en-US" w:eastAsia="zh-CN"/>
        </w:rPr>
      </w:pPr>
    </w:p>
    <w:p>
      <w:pPr>
        <w:widowControl/>
        <w:spacing w:after="240" w:line="432" w:lineRule="atLeast"/>
        <w:ind w:firstLine="480"/>
        <w:rPr>
          <w:rFonts w:hint="eastAsia" w:ascii="宋体" w:hAnsi="宋体" w:cs="宋体"/>
          <w:color w:val="000000"/>
          <w:kern w:val="0"/>
          <w:sz w:val="24"/>
        </w:rPr>
      </w:pPr>
      <w:r>
        <w:rPr>
          <w:rFonts w:hint="eastAsia" w:ascii="宋体" w:hAnsi="宋体" w:cs="宋体"/>
          <w:b/>
          <w:bCs/>
          <w:color w:val="000000"/>
          <w:kern w:val="0"/>
          <w:sz w:val="24"/>
        </w:rPr>
        <w:t>二、主动公开政府信息情况</w:t>
      </w:r>
    </w:p>
    <w:tbl>
      <w:tblPr>
        <w:tblStyle w:val="6"/>
        <w:tblW w:w="8140" w:type="dxa"/>
        <w:jc w:val="center"/>
        <w:tblInd w:w="0" w:type="dxa"/>
        <w:tblLayout w:type="fixed"/>
        <w:tblCellMar>
          <w:top w:w="0" w:type="dxa"/>
          <w:left w:w="0" w:type="dxa"/>
          <w:bottom w:w="0" w:type="dxa"/>
          <w:right w:w="0" w:type="dxa"/>
        </w:tblCellMar>
      </w:tblPr>
      <w:tblGrid>
        <w:gridCol w:w="3113"/>
        <w:gridCol w:w="1875"/>
        <w:gridCol w:w="6"/>
        <w:gridCol w:w="656"/>
        <w:gridCol w:w="609"/>
        <w:gridCol w:w="1881"/>
      </w:tblGrid>
      <w:tr>
        <w:tblPrEx>
          <w:tblLayout w:type="fixed"/>
          <w:tblCellMar>
            <w:top w:w="0" w:type="dxa"/>
            <w:left w:w="0" w:type="dxa"/>
            <w:bottom w:w="0" w:type="dxa"/>
            <w:right w:w="0" w:type="dxa"/>
          </w:tblCellMar>
        </w:tblPrEx>
        <w:trPr>
          <w:trHeight w:val="495" w:hRule="atLeast"/>
          <w:jc w:val="center"/>
        </w:trPr>
        <w:tc>
          <w:tcPr>
            <w:tcW w:w="8140" w:type="dxa"/>
            <w:gridSpan w:val="6"/>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eastAsia="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制作数量</w:t>
            </w:r>
          </w:p>
        </w:tc>
        <w:tc>
          <w:tcPr>
            <w:tcW w:w="1271"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p>
        </w:tc>
        <w:tc>
          <w:tcPr>
            <w:tcW w:w="1271" w:type="dxa"/>
            <w:gridSpan w:val="3"/>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5</w:t>
            </w:r>
          </w:p>
        </w:tc>
        <w:tc>
          <w:tcPr>
            <w:tcW w:w="1271" w:type="dxa"/>
            <w:gridSpan w:val="3"/>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5</w:t>
            </w:r>
          </w:p>
        </w:tc>
        <w:tc>
          <w:tcPr>
            <w:tcW w:w="1881"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4</w:t>
            </w:r>
          </w:p>
        </w:tc>
      </w:tr>
      <w:tr>
        <w:tblPrEx>
          <w:tblLayout w:type="fixed"/>
          <w:tblCellMar>
            <w:top w:w="0" w:type="dxa"/>
            <w:left w:w="0" w:type="dxa"/>
            <w:bottom w:w="0" w:type="dxa"/>
            <w:right w:w="0" w:type="dxa"/>
          </w:tblCellMar>
        </w:tblPrEx>
        <w:trPr>
          <w:trHeight w:val="480"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eastAsia="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121</w:t>
            </w:r>
          </w:p>
        </w:tc>
        <w:tc>
          <w:tcPr>
            <w:tcW w:w="1265" w:type="dxa"/>
            <w:gridSpan w:val="2"/>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+25</w:t>
            </w:r>
          </w:p>
        </w:tc>
        <w:tc>
          <w:tcPr>
            <w:tcW w:w="1881"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158922</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p>
        </w:tc>
        <w:tc>
          <w:tcPr>
            <w:tcW w:w="1265" w:type="dxa"/>
            <w:gridSpan w:val="2"/>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06"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eastAsia="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textDirection w:val="lrTb"/>
            <w:vAlign w:val="center"/>
          </w:tcPr>
          <w:p>
            <w:pPr>
              <w:widowControl/>
              <w:jc w:val="center"/>
              <w:rPr>
                <w:rFonts w:ascii="宋体" w:hAnsi="宋体" w:cs="宋体"/>
                <w:color w:val="000000"/>
                <w:kern w:val="0"/>
                <w:sz w:val="24"/>
              </w:rPr>
            </w:pPr>
            <w:r>
              <w:rPr>
                <w:rFonts w:hint="eastAsia" w:ascii="宋体" w:hAnsi="宋体" w:cs="宋体"/>
                <w:color w:val="auto"/>
                <w:kern w:val="0"/>
                <w:sz w:val="20"/>
                <w:szCs w:val="20"/>
              </w:rPr>
              <w:t>行政处罚</w:t>
            </w:r>
          </w:p>
        </w:tc>
        <w:tc>
          <w:tcPr>
            <w:tcW w:w="1881" w:type="dxa"/>
            <w:gridSpan w:val="2"/>
            <w:tcBorders>
              <w:top w:val="nil"/>
              <w:left w:val="nil"/>
              <w:bottom w:val="single" w:color="auto" w:sz="8" w:space="0"/>
              <w:right w:val="single" w:color="auto" w:sz="8" w:space="0"/>
            </w:tcBorders>
            <w:shd w:val="clear" w:color="auto" w:fill="auto"/>
            <w:textDirection w:val="lrTb"/>
            <w:vAlign w:val="center"/>
          </w:tcPr>
          <w:p>
            <w:pPr>
              <w:widowControl/>
              <w:jc w:val="center"/>
              <w:rPr>
                <w:rFonts w:ascii="宋体" w:hAnsi="宋体" w:cs="宋体"/>
                <w:color w:val="000000"/>
                <w:kern w:val="0"/>
                <w:sz w:val="24"/>
              </w:rPr>
            </w:pPr>
            <w:r>
              <w:rPr>
                <w:rFonts w:hint="eastAsia" w:ascii="宋体" w:hAnsi="宋体" w:cs="宋体"/>
                <w:color w:val="auto"/>
                <w:kern w:val="0"/>
                <w:sz w:val="20"/>
                <w:szCs w:val="20"/>
                <w:lang w:val="en-US" w:eastAsia="zh-CN"/>
              </w:rPr>
              <w:t>566</w:t>
            </w:r>
          </w:p>
        </w:tc>
        <w:tc>
          <w:tcPr>
            <w:tcW w:w="126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auto"/>
                <w:kern w:val="0"/>
                <w:sz w:val="20"/>
                <w:szCs w:val="20"/>
                <w:lang w:val="en-US" w:eastAsia="zh-CN"/>
              </w:rPr>
              <w:t>-180</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auto"/>
                <w:kern w:val="0"/>
                <w:sz w:val="20"/>
                <w:szCs w:val="20"/>
                <w:lang w:val="en-US" w:eastAsia="zh-CN"/>
              </w:rPr>
              <w:t>112</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textDirection w:val="lrTb"/>
            <w:vAlign w:val="center"/>
          </w:tcPr>
          <w:p>
            <w:pPr>
              <w:widowControl/>
              <w:jc w:val="center"/>
              <w:rPr>
                <w:rFonts w:ascii="宋体" w:hAnsi="宋体" w:cs="宋体"/>
                <w:color w:val="000000"/>
                <w:kern w:val="0"/>
                <w:sz w:val="24"/>
              </w:rPr>
            </w:pPr>
            <w:r>
              <w:rPr>
                <w:rFonts w:hint="eastAsia" w:ascii="宋体" w:hAnsi="宋体" w:cs="宋体"/>
                <w:color w:val="auto"/>
                <w:kern w:val="0"/>
                <w:sz w:val="20"/>
                <w:szCs w:val="20"/>
              </w:rPr>
              <w:t>行政强制</w:t>
            </w:r>
          </w:p>
        </w:tc>
        <w:tc>
          <w:tcPr>
            <w:tcW w:w="1881" w:type="dxa"/>
            <w:gridSpan w:val="2"/>
            <w:tcBorders>
              <w:top w:val="nil"/>
              <w:left w:val="nil"/>
              <w:bottom w:val="single" w:color="auto" w:sz="8" w:space="0"/>
              <w:right w:val="single" w:color="auto" w:sz="8" w:space="0"/>
            </w:tcBorders>
            <w:shd w:val="clear" w:color="auto" w:fill="auto"/>
            <w:textDirection w:val="lrTb"/>
            <w:vAlign w:val="center"/>
          </w:tcPr>
          <w:p>
            <w:pPr>
              <w:widowControl/>
              <w:jc w:val="center"/>
              <w:rPr>
                <w:rFonts w:ascii="宋体" w:hAnsi="宋体" w:cs="宋体"/>
                <w:color w:val="000000"/>
                <w:kern w:val="0"/>
                <w:sz w:val="24"/>
              </w:rPr>
            </w:pPr>
            <w:r>
              <w:rPr>
                <w:rFonts w:hint="eastAsia" w:ascii="宋体" w:hAnsi="宋体" w:cs="宋体"/>
                <w:color w:val="auto"/>
                <w:kern w:val="0"/>
                <w:sz w:val="20"/>
                <w:szCs w:val="20"/>
                <w:lang w:val="en-US" w:eastAsia="zh-CN"/>
              </w:rPr>
              <w:t>0</w:t>
            </w:r>
          </w:p>
        </w:tc>
        <w:tc>
          <w:tcPr>
            <w:tcW w:w="126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auto"/>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auto"/>
                <w:kern w:val="0"/>
                <w:sz w:val="20"/>
                <w:szCs w:val="20"/>
                <w:lang w:val="en-US" w:eastAsia="zh-CN"/>
              </w:rPr>
              <w:t>0</w:t>
            </w:r>
          </w:p>
        </w:tc>
      </w:tr>
      <w:tr>
        <w:tblPrEx>
          <w:tblLayout w:type="fixed"/>
          <w:tblCellMar>
            <w:top w:w="0" w:type="dxa"/>
            <w:left w:w="0" w:type="dxa"/>
            <w:bottom w:w="0" w:type="dxa"/>
            <w:right w:w="0" w:type="dxa"/>
          </w:tblCellMar>
        </w:tblPrEx>
        <w:trPr>
          <w:trHeight w:val="474"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eastAsia="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2537" w:type="dxa"/>
            <w:gridSpan w:val="3"/>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2490"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行政事业性收费</w:t>
            </w:r>
          </w:p>
        </w:tc>
        <w:tc>
          <w:tcPr>
            <w:tcW w:w="2537" w:type="dxa"/>
            <w:gridSpan w:val="3"/>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lang w:val="en-US" w:eastAsia="zh-CN"/>
              </w:rPr>
              <w:t>1</w:t>
            </w:r>
          </w:p>
        </w:tc>
        <w:tc>
          <w:tcPr>
            <w:tcW w:w="2490" w:type="dxa"/>
            <w:gridSpan w:val="2"/>
            <w:tcBorders>
              <w:top w:val="nil"/>
              <w:left w:val="nil"/>
              <w:bottom w:val="single" w:color="auto" w:sz="8" w:space="0"/>
              <w:right w:val="single" w:color="000000"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6"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eastAsia="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2537" w:type="dxa"/>
            <w:gridSpan w:val="3"/>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采购项目数量</w:t>
            </w:r>
          </w:p>
        </w:tc>
        <w:tc>
          <w:tcPr>
            <w:tcW w:w="2490"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政府集中采购</w:t>
            </w:r>
          </w:p>
        </w:tc>
        <w:tc>
          <w:tcPr>
            <w:tcW w:w="2537" w:type="dxa"/>
            <w:gridSpan w:val="3"/>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lang w:val="en-US" w:eastAsia="zh-CN"/>
              </w:rPr>
              <w:t>3</w:t>
            </w:r>
          </w:p>
        </w:tc>
        <w:tc>
          <w:tcPr>
            <w:tcW w:w="2490" w:type="dxa"/>
            <w:gridSpan w:val="2"/>
            <w:tcBorders>
              <w:top w:val="nil"/>
              <w:left w:val="nil"/>
              <w:bottom w:val="single" w:color="auto" w:sz="8" w:space="0"/>
              <w:right w:val="single" w:color="000000" w:sz="8" w:space="0"/>
            </w:tcBorders>
            <w:tcMar>
              <w:top w:w="0" w:type="dxa"/>
              <w:left w:w="108" w:type="dxa"/>
              <w:bottom w:w="0" w:type="dxa"/>
              <w:right w:w="108" w:type="dxa"/>
            </w:tcMar>
            <w:textDirection w:val="lrTb"/>
            <w:vAlign w:val="center"/>
          </w:tcPr>
          <w:p>
            <w:pPr>
              <w:widowControl/>
              <w:jc w:val="center"/>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lang w:val="en-US" w:eastAsia="zh-CN"/>
              </w:rPr>
              <w:t>79.5万元</w:t>
            </w:r>
          </w:p>
        </w:tc>
      </w:tr>
    </w:tbl>
    <w:p>
      <w:pPr>
        <w:widowControl/>
        <w:spacing w:line="432" w:lineRule="atLeast"/>
        <w:ind w:firstLine="480"/>
        <w:rPr>
          <w:rFonts w:hint="eastAsia" w:ascii="宋体" w:hAnsi="宋体" w:cs="宋体"/>
          <w:color w:val="000000"/>
          <w:kern w:val="0"/>
          <w:sz w:val="24"/>
        </w:rPr>
      </w:pPr>
    </w:p>
    <w:p>
      <w:pPr>
        <w:widowControl/>
        <w:spacing w:after="240" w:line="432" w:lineRule="atLeast"/>
        <w:ind w:firstLine="480"/>
        <w:rPr>
          <w:rFonts w:hint="eastAsia" w:ascii="宋体" w:hAnsi="宋体" w:cs="宋体"/>
          <w:b/>
          <w:bCs/>
          <w:color w:val="000000"/>
          <w:kern w:val="0"/>
          <w:sz w:val="24"/>
        </w:rPr>
      </w:pPr>
      <w:bookmarkStart w:id="0" w:name="_GoBack"/>
      <w:bookmarkEnd w:id="0"/>
    </w:p>
    <w:p>
      <w:pPr>
        <w:widowControl/>
        <w:spacing w:after="240" w:line="432" w:lineRule="atLeast"/>
        <w:ind w:firstLine="480"/>
        <w:rPr>
          <w:rFonts w:hint="eastAsia" w:ascii="宋体" w:hAnsi="宋体" w:cs="宋体"/>
          <w:b/>
          <w:bCs/>
          <w:color w:val="000000"/>
          <w:kern w:val="0"/>
          <w:sz w:val="24"/>
        </w:rPr>
      </w:pPr>
    </w:p>
    <w:p>
      <w:pPr>
        <w:widowControl/>
        <w:spacing w:after="240" w:line="432" w:lineRule="atLeast"/>
        <w:ind w:firstLine="480"/>
        <w:rPr>
          <w:rFonts w:hint="eastAsia" w:ascii="宋体" w:hAnsi="宋体" w:cs="宋体"/>
          <w:b/>
          <w:bCs/>
          <w:color w:val="000000"/>
          <w:kern w:val="0"/>
          <w:sz w:val="24"/>
        </w:rPr>
      </w:pPr>
    </w:p>
    <w:p>
      <w:pPr>
        <w:widowControl/>
        <w:spacing w:after="240" w:line="432" w:lineRule="atLeast"/>
        <w:ind w:firstLine="480"/>
        <w:rPr>
          <w:rFonts w:hint="eastAsia" w:ascii="宋体" w:hAnsi="宋体" w:cs="宋体"/>
          <w:b/>
          <w:bCs/>
          <w:color w:val="000000"/>
          <w:kern w:val="0"/>
          <w:sz w:val="24"/>
        </w:rPr>
      </w:pPr>
    </w:p>
    <w:p>
      <w:pPr>
        <w:widowControl/>
        <w:spacing w:after="240" w:line="432" w:lineRule="atLeast"/>
        <w:ind w:firstLine="480"/>
        <w:rPr>
          <w:rFonts w:hint="eastAsia" w:ascii="宋体" w:hAnsi="宋体" w:cs="宋体"/>
          <w:color w:val="000000"/>
          <w:kern w:val="0"/>
          <w:sz w:val="24"/>
        </w:rPr>
      </w:pPr>
      <w:r>
        <w:rPr>
          <w:rFonts w:hint="eastAsia" w:ascii="宋体" w:hAnsi="宋体" w:cs="宋体"/>
          <w:b/>
          <w:bCs/>
          <w:color w:val="000000"/>
          <w:kern w:val="0"/>
          <w:sz w:val="24"/>
        </w:rPr>
        <w:t>三、收到和处理政府信息公开申请情况</w:t>
      </w:r>
    </w:p>
    <w:tbl>
      <w:tblPr>
        <w:tblStyle w:val="6"/>
        <w:tblW w:w="9071" w:type="dxa"/>
        <w:jc w:val="center"/>
        <w:tblInd w:w="0" w:type="dxa"/>
        <w:tblLayout w:type="fixed"/>
        <w:tblCellMar>
          <w:top w:w="0" w:type="dxa"/>
          <w:left w:w="0" w:type="dxa"/>
          <w:bottom w:w="0" w:type="dxa"/>
          <w:right w:w="0" w:type="dxa"/>
        </w:tblCellMar>
      </w:tblPr>
      <w:tblGrid>
        <w:gridCol w:w="494"/>
        <w:gridCol w:w="855"/>
        <w:gridCol w:w="2130"/>
        <w:gridCol w:w="825"/>
        <w:gridCol w:w="765"/>
        <w:gridCol w:w="765"/>
        <w:gridCol w:w="825"/>
        <w:gridCol w:w="990"/>
        <w:gridCol w:w="720"/>
        <w:gridCol w:w="702"/>
      </w:tblGrid>
      <w:tr>
        <w:tblPrEx>
          <w:tblLayout w:type="fixed"/>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申请人情况</w:t>
            </w:r>
          </w:p>
        </w:tc>
      </w:tr>
      <w:tr>
        <w:tblPrEx>
          <w:tblLayout w:type="fixed"/>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Layout w:type="fixed"/>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2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w:t>
            </w:r>
          </w:p>
        </w:tc>
        <w:tc>
          <w:tcPr>
            <w:tcW w:w="702"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5</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5</w:t>
            </w: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三、本年度办理结果</w:t>
            </w: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1</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2</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2</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1</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1</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1</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5</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5</w:t>
            </w: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hint="eastAsia" w:ascii="Calibri" w:hAnsi="Calibri" w:cs="宋体"/>
                <w:color w:val="000000"/>
                <w:kern w:val="0"/>
                <w:sz w:val="20"/>
                <w:szCs w:val="20"/>
                <w:lang w:val="en-US" w:eastAsia="zh-CN"/>
              </w:rPr>
              <w:t>0</w:t>
            </w:r>
          </w:p>
        </w:tc>
      </w:tr>
    </w:tbl>
    <w:p>
      <w:pPr>
        <w:widowControl/>
        <w:spacing w:line="432" w:lineRule="atLeast"/>
        <w:ind w:firstLine="480"/>
        <w:rPr>
          <w:rFonts w:hint="eastAsia" w:ascii="宋体" w:hAnsi="宋体" w:cs="宋体"/>
          <w:color w:val="000000"/>
          <w:kern w:val="0"/>
          <w:sz w:val="24"/>
        </w:rPr>
      </w:pPr>
    </w:p>
    <w:p>
      <w:pPr>
        <w:widowControl/>
        <w:spacing w:line="432" w:lineRule="atLeast"/>
        <w:ind w:firstLine="480"/>
        <w:rPr>
          <w:rFonts w:hint="eastAsia" w:ascii="宋体" w:hAnsi="宋体" w:cs="宋体"/>
          <w:color w:val="000000"/>
          <w:kern w:val="0"/>
          <w:sz w:val="24"/>
        </w:rPr>
      </w:pPr>
      <w:r>
        <w:rPr>
          <w:rFonts w:hint="eastAsia" w:ascii="宋体" w:hAnsi="宋体" w:cs="宋体"/>
          <w:b/>
          <w:bCs/>
          <w:color w:val="000000"/>
          <w:kern w:val="0"/>
          <w:sz w:val="24"/>
        </w:rPr>
        <w:t>四、政府信息公开行政复议、行政诉讼情况</w:t>
      </w:r>
    </w:p>
    <w:p>
      <w:pPr>
        <w:widowControl/>
        <w:spacing w:line="432" w:lineRule="atLeast"/>
        <w:ind w:firstLine="480"/>
        <w:rPr>
          <w:rFonts w:hint="eastAsia" w:ascii="宋体" w:hAnsi="宋体" w:cs="宋体"/>
          <w:color w:val="000000"/>
          <w:kern w:val="0"/>
          <w:sz w:val="24"/>
        </w:rPr>
      </w:pPr>
    </w:p>
    <w:tbl>
      <w:tblPr>
        <w:tblStyle w:val="6"/>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658"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hint="eastAsia"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hint="eastAsia"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hint="eastAsia"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hint="eastAsia"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hint="eastAsia"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hint="eastAsia"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hint="eastAsia"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hint="eastAsia"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0 </w:t>
            </w:r>
          </w:p>
        </w:tc>
        <w:tc>
          <w:tcPr>
            <w:tcW w:w="606"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hint="eastAsia"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 0</w:t>
            </w:r>
          </w:p>
        </w:tc>
        <w:tc>
          <w:tcPr>
            <w:tcW w:w="606"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hint="eastAsia"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0</w:t>
            </w:r>
          </w:p>
        </w:tc>
      </w:tr>
    </w:tbl>
    <w:p>
      <w:pPr>
        <w:widowControl/>
        <w:spacing w:line="432" w:lineRule="atLeast"/>
        <w:jc w:val="center"/>
        <w:rPr>
          <w:rFonts w:hint="eastAsia" w:ascii="宋体" w:hAnsi="宋体" w:cs="宋体"/>
          <w:color w:val="000000"/>
          <w:kern w:val="0"/>
          <w:sz w:val="24"/>
        </w:rPr>
      </w:pPr>
    </w:p>
    <w:p>
      <w:pPr>
        <w:widowControl/>
        <w:spacing w:line="432" w:lineRule="atLeast"/>
        <w:ind w:firstLine="480"/>
        <w:rPr>
          <w:rFonts w:hint="eastAsia" w:ascii="宋体" w:hAnsi="宋体" w:cs="宋体"/>
          <w:color w:val="000000"/>
          <w:kern w:val="0"/>
          <w:sz w:val="24"/>
        </w:rPr>
      </w:pPr>
      <w:r>
        <w:rPr>
          <w:rFonts w:hint="eastAsia" w:ascii="宋体" w:hAnsi="宋体" w:cs="宋体"/>
          <w:b/>
          <w:bCs/>
          <w:color w:val="000000"/>
          <w:kern w:val="0"/>
          <w:sz w:val="24"/>
        </w:rPr>
        <w:t>五、存在的主要问题及改进情况</w:t>
      </w:r>
    </w:p>
    <w:p>
      <w:pPr>
        <w:widowControl/>
        <w:spacing w:line="432" w:lineRule="atLeast"/>
        <w:ind w:firstLine="480"/>
        <w:rPr>
          <w:rFonts w:hint="eastAsia" w:ascii="宋体" w:hAnsi="宋体" w:cs="宋体"/>
          <w:color w:val="000000"/>
          <w:kern w:val="0"/>
          <w:sz w:val="24"/>
        </w:rPr>
      </w:pPr>
      <w:r>
        <w:rPr>
          <w:rFonts w:hint="eastAsia" w:ascii="宋体" w:hAnsi="宋体" w:cs="宋体"/>
          <w:color w:val="000000"/>
          <w:kern w:val="0"/>
          <w:sz w:val="24"/>
        </w:rPr>
        <w:t>虽然今年的政务公开工作取得了一定成效，但是也存在一些问题</w:t>
      </w:r>
      <w:r>
        <w:rPr>
          <w:rFonts w:hint="eastAsia" w:ascii="宋体" w:hAnsi="宋体" w:cs="宋体"/>
          <w:color w:val="000000"/>
          <w:kern w:val="0"/>
          <w:sz w:val="24"/>
          <w:lang w:eastAsia="zh-CN"/>
        </w:rPr>
        <w:t>，</w:t>
      </w:r>
      <w:r>
        <w:rPr>
          <w:rFonts w:hint="eastAsia" w:ascii="宋体" w:hAnsi="宋体" w:cs="宋体"/>
          <w:color w:val="000000"/>
          <w:kern w:val="0"/>
          <w:sz w:val="24"/>
        </w:rPr>
        <w:t>主要</w:t>
      </w:r>
      <w:r>
        <w:rPr>
          <w:rFonts w:hint="eastAsia" w:ascii="宋体" w:hAnsi="宋体" w:cs="宋体"/>
          <w:color w:val="000000"/>
          <w:kern w:val="0"/>
          <w:sz w:val="24"/>
          <w:lang w:eastAsia="zh-CN"/>
        </w:rPr>
        <w:t>为</w:t>
      </w:r>
      <w:r>
        <w:rPr>
          <w:rFonts w:hint="eastAsia" w:ascii="宋体" w:hAnsi="宋体" w:cs="宋体"/>
          <w:color w:val="000000"/>
          <w:kern w:val="0"/>
          <w:sz w:val="24"/>
        </w:rPr>
        <w:t>：</w:t>
      </w:r>
    </w:p>
    <w:p>
      <w:pPr>
        <w:widowControl/>
        <w:spacing w:line="432" w:lineRule="atLeast"/>
        <w:ind w:firstLine="480"/>
        <w:rPr>
          <w:rFonts w:hint="eastAsia" w:ascii="宋体" w:hAnsi="宋体" w:cs="宋体"/>
          <w:color w:val="000000"/>
          <w:kern w:val="0"/>
          <w:sz w:val="24"/>
          <w:lang w:val="en-US" w:eastAsia="zh-CN"/>
        </w:rPr>
      </w:pPr>
      <w:r>
        <w:rPr>
          <w:rFonts w:hint="eastAsia" w:ascii="宋体" w:hAnsi="宋体" w:cs="宋体"/>
          <w:color w:val="000000"/>
          <w:kern w:val="0"/>
          <w:sz w:val="24"/>
          <w:lang w:eastAsia="zh-CN"/>
        </w:rPr>
        <w:t>（一）</w:t>
      </w:r>
      <w:r>
        <w:rPr>
          <w:rFonts w:hint="eastAsia" w:ascii="宋体" w:hAnsi="宋体" w:cs="宋体"/>
          <w:color w:val="000000"/>
          <w:kern w:val="0"/>
          <w:sz w:val="24"/>
          <w:lang w:val="en-US" w:eastAsia="zh-CN"/>
        </w:rPr>
        <w:t>信</w:t>
      </w:r>
      <w:r>
        <w:rPr>
          <w:rFonts w:hint="eastAsia" w:ascii="宋体" w:hAnsi="宋体" w:cs="宋体"/>
          <w:color w:val="000000"/>
          <w:kern w:val="0"/>
          <w:sz w:val="24"/>
          <w:lang w:eastAsia="zh-CN"/>
        </w:rPr>
        <w:t>息公开</w:t>
      </w:r>
      <w:r>
        <w:rPr>
          <w:rFonts w:hint="eastAsia" w:ascii="宋体" w:hAnsi="宋体" w:cs="宋体"/>
          <w:color w:val="000000"/>
          <w:kern w:val="0"/>
          <w:sz w:val="24"/>
          <w:lang w:val="en-US" w:eastAsia="zh-CN"/>
        </w:rPr>
        <w:t>制度执行不够到位。对信息公开的审核制度、责任追究制度落实不到位，信息审核的时效性不高。监督制度还需进一步完善，内部监督不够严格、外部群众监督缺少渠道的现状需要改变。</w:t>
      </w:r>
    </w:p>
    <w:p>
      <w:pPr>
        <w:widowControl/>
        <w:spacing w:line="432" w:lineRule="atLeast"/>
        <w:ind w:firstLine="48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（二）政府信息公开工作培训有所欠缺。因工作人员流动性大，专项培训工作不到位，导致部分科室</w:t>
      </w:r>
      <w:r>
        <w:rPr>
          <w:rFonts w:hint="eastAsia" w:ascii="宋体" w:hAnsi="宋体" w:cs="宋体"/>
          <w:color w:val="000000"/>
          <w:kern w:val="0"/>
          <w:sz w:val="24"/>
          <w:lang w:eastAsia="zh-CN"/>
        </w:rPr>
        <w:t>工作人员对政府信息公开工作</w:t>
      </w:r>
      <w:r>
        <w:rPr>
          <w:rFonts w:hint="eastAsia" w:ascii="宋体" w:hAnsi="宋体" w:cs="宋体"/>
          <w:color w:val="000000"/>
          <w:kern w:val="0"/>
          <w:sz w:val="24"/>
          <w:lang w:val="en-US" w:eastAsia="zh-CN"/>
        </w:rPr>
        <w:t>的认识不够</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信息</w:t>
      </w:r>
      <w:r>
        <w:rPr>
          <w:rFonts w:hint="eastAsia" w:ascii="宋体" w:hAnsi="宋体" w:cs="宋体"/>
          <w:color w:val="000000"/>
          <w:kern w:val="0"/>
          <w:sz w:val="24"/>
          <w:lang w:eastAsia="zh-CN"/>
        </w:rPr>
        <w:t>公开</w:t>
      </w:r>
      <w:r>
        <w:rPr>
          <w:rFonts w:hint="eastAsia" w:ascii="宋体" w:hAnsi="宋体" w:cs="宋体"/>
          <w:color w:val="000000"/>
          <w:kern w:val="0"/>
          <w:sz w:val="24"/>
          <w:lang w:val="en-US" w:eastAsia="zh-CN"/>
        </w:rPr>
        <w:t>严谨性不够，存在因拖延而错过公开期限等现象。</w:t>
      </w:r>
    </w:p>
    <w:p>
      <w:pPr>
        <w:widowControl/>
        <w:spacing w:line="432" w:lineRule="atLeast"/>
        <w:ind w:firstLine="480"/>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（三）信息公开的广度和深度有待拓展。目前公开的信息不够全面，其中工作动态占了较大比例，群众关心的热点问题相关的信息公开比例还不够高，回应群众关切的信息也较少。</w:t>
      </w:r>
    </w:p>
    <w:p>
      <w:pPr>
        <w:widowControl/>
        <w:spacing w:line="432" w:lineRule="atLeast"/>
        <w:ind w:firstLine="480"/>
        <w:rPr>
          <w:rFonts w:hint="eastAsia" w:ascii="宋体" w:hAnsi="宋体" w:cs="宋体"/>
          <w:color w:val="000000"/>
          <w:kern w:val="0"/>
          <w:sz w:val="24"/>
          <w:lang w:eastAsia="zh-CN"/>
        </w:rPr>
      </w:pPr>
      <w:r>
        <w:rPr>
          <w:rFonts w:hint="eastAsia" w:ascii="宋体" w:hAnsi="宋体" w:cs="宋体"/>
          <w:color w:val="000000"/>
          <w:kern w:val="0"/>
          <w:sz w:val="24"/>
          <w:lang w:eastAsia="zh-CN"/>
        </w:rPr>
        <w:t>今后的工作中，我局将从以下几个方面改进：</w:t>
      </w:r>
    </w:p>
    <w:p>
      <w:pPr>
        <w:widowControl/>
        <w:spacing w:line="432" w:lineRule="atLeast"/>
        <w:ind w:firstLine="480"/>
        <w:rPr>
          <w:rFonts w:hint="eastAsia" w:ascii="宋体" w:hAnsi="宋体" w:cs="宋体"/>
          <w:color w:val="000000"/>
          <w:kern w:val="0"/>
          <w:sz w:val="24"/>
        </w:rPr>
      </w:pPr>
      <w:r>
        <w:rPr>
          <w:rFonts w:hint="eastAsia" w:ascii="宋体" w:hAnsi="宋体" w:cs="宋体"/>
          <w:color w:val="000000"/>
          <w:kern w:val="0"/>
          <w:sz w:val="24"/>
        </w:rPr>
        <w:t>（一）加强制度建设。进一步完善现有政府信息公开工作制度，确保政府信息公开工作制度化、规范化，深入、持续、高效地开展政府信息公开工作。特别是进一步完善审核、审批制度，严把质量关、保密审查关，同时也要加强信息公开过程的监督工作，特别要拓宽外部监督渠道。</w:t>
      </w:r>
    </w:p>
    <w:p>
      <w:pPr>
        <w:widowControl/>
        <w:spacing w:line="432" w:lineRule="atLeast"/>
        <w:ind w:firstLine="480"/>
        <w:rPr>
          <w:rFonts w:hint="eastAsia" w:ascii="宋体" w:hAnsi="宋体" w:cs="宋体"/>
          <w:color w:val="000000"/>
          <w:kern w:val="0"/>
          <w:sz w:val="24"/>
        </w:rPr>
      </w:pPr>
      <w:r>
        <w:rPr>
          <w:rFonts w:hint="eastAsia" w:ascii="宋体" w:hAnsi="宋体" w:cs="宋体"/>
          <w:color w:val="000000"/>
          <w:kern w:val="0"/>
          <w:sz w:val="24"/>
        </w:rPr>
        <w:t>（二）加强业务培训。组织政府信息公开工作人员参加业务培训，使工作人员真正转变思想观念，切实树立政府信息公开意识，努力提高政府信息工作的透明度，严格遵循“以公开为原则，以不公开为例外”的原则，提高做好政府信息公开的责任感、使命感。进一步提高政府信息采集、编辑能力，努力使政府信息公开工作再上新台阶。</w:t>
      </w:r>
    </w:p>
    <w:p>
      <w:pPr>
        <w:widowControl/>
        <w:spacing w:line="432" w:lineRule="atLeast"/>
        <w:ind w:firstLine="480"/>
        <w:rPr>
          <w:rFonts w:hint="eastAsia" w:ascii="宋体" w:hAnsi="宋体" w:cs="宋体"/>
          <w:b/>
          <w:bCs/>
          <w:color w:val="000000"/>
          <w:kern w:val="0"/>
          <w:sz w:val="24"/>
        </w:rPr>
      </w:pPr>
      <w:r>
        <w:rPr>
          <w:rFonts w:hint="eastAsia" w:ascii="宋体" w:hAnsi="宋体" w:cs="宋体"/>
          <w:color w:val="000000"/>
          <w:kern w:val="0"/>
          <w:sz w:val="24"/>
        </w:rPr>
        <w:t>（三）加强提质增效。进一步做好公开和免予公开两类政府信息的界定，完善主动公开的政府信息目录。围绕中心工作，积极了解群众关切，加强对热点信息的梳理，同时要充分利用新媒体进行信息公开，并积极鼓励公众互动，进一步提高社会对政府信息公开的认知度和群众的满意度，全面提升“三农”服务水平。</w:t>
      </w:r>
    </w:p>
    <w:p>
      <w:pPr>
        <w:widowControl/>
        <w:spacing w:line="432" w:lineRule="atLeast"/>
        <w:ind w:firstLine="480"/>
        <w:rPr>
          <w:rFonts w:hint="eastAsia" w:ascii="宋体" w:hAnsi="宋体" w:cs="宋体"/>
          <w:color w:val="000000"/>
          <w:kern w:val="0"/>
          <w:sz w:val="24"/>
        </w:rPr>
      </w:pPr>
      <w:r>
        <w:rPr>
          <w:rFonts w:hint="eastAsia" w:ascii="宋体" w:hAnsi="宋体" w:cs="宋体"/>
          <w:b/>
          <w:bCs/>
          <w:color w:val="000000"/>
          <w:kern w:val="0"/>
          <w:sz w:val="24"/>
        </w:rPr>
        <w:t>六、其他需要报告的事项</w:t>
      </w:r>
    </w:p>
    <w:p>
      <w:pPr>
        <w:widowControl/>
        <w:spacing w:line="432" w:lineRule="atLeast"/>
        <w:ind w:firstLine="480"/>
        <w:rPr>
          <w:rFonts w:ascii="宋体" w:hAnsi="宋体" w:cs="宋体"/>
          <w:color w:val="000000"/>
          <w:kern w:val="0"/>
          <w:sz w:val="24"/>
        </w:rPr>
      </w:pPr>
      <w:r>
        <w:rPr>
          <w:rFonts w:hint="eastAsia" w:ascii="宋体" w:hAnsi="宋体" w:cs="宋体"/>
          <w:color w:val="000000"/>
          <w:kern w:val="0"/>
          <w:sz w:val="24"/>
          <w:lang w:eastAsia="zh-CN"/>
        </w:rPr>
        <w:t>无</w:t>
      </w:r>
    </w:p>
    <w:p>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Verdana">
    <w:panose1 w:val="020B0604030504040204"/>
    <w:charset w:val="00"/>
    <w:family w:val="decorative"/>
    <w:pitch w:val="default"/>
    <w:sig w:usb0="A10006FF" w:usb1="4000205B" w:usb2="00000010" w:usb3="00000000" w:csb0="2000019F" w:csb1="00000000"/>
  </w:font>
  <w:font w:name="楷体_GB2312">
    <w:altName w:val="楷体"/>
    <w:panose1 w:val="02010609030101010101"/>
    <w:charset w:val="86"/>
    <w:family w:val="swiss"/>
    <w:pitch w:val="default"/>
    <w:sig w:usb0="00000000" w:usb1="00000000" w:usb2="00000000" w:usb3="00000000" w:csb0="00040000" w:csb1="00000000"/>
  </w:font>
  <w:font w:name="文星简小标宋">
    <w:altName w:val="宋体"/>
    <w:panose1 w:val="02010609000101010101"/>
    <w:charset w:val="86"/>
    <w:family w:val="swiss"/>
    <w:pitch w:val="default"/>
    <w:sig w:usb0="00000000" w:usb1="00000000" w:usb2="0000001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Verdana">
    <w:panose1 w:val="020B0604030504040204"/>
    <w:charset w:val="00"/>
    <w:family w:val="roman"/>
    <w:pitch w:val="default"/>
    <w:sig w:usb0="A10006FF" w:usb1="4000205B" w:usb2="00000010" w:usb3="00000000" w:csb0="2000019F" w:csb1="00000000"/>
  </w:font>
  <w:font w:name="楷体_GB2312">
    <w:altName w:val="楷体"/>
    <w:panose1 w:val="02010609030101010101"/>
    <w:charset w:val="86"/>
    <w:family w:val="decorative"/>
    <w:pitch w:val="default"/>
    <w:sig w:usb0="00000000" w:usb1="00000000" w:usb2="00000000" w:usb3="00000000" w:csb0="00040000" w:csb1="00000000"/>
  </w:font>
  <w:font w:name="文星简小标宋">
    <w:altName w:val="宋体"/>
    <w:panose1 w:val="02010609000101010101"/>
    <w:charset w:val="86"/>
    <w:family w:val="decorative"/>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Verdana">
    <w:panose1 w:val="020B0604030504040204"/>
    <w:charset w:val="00"/>
    <w:family w:val="modern"/>
    <w:pitch w:val="default"/>
    <w:sig w:usb0="A10006FF" w:usb1="4000205B" w:usb2="00000010" w:usb3="00000000" w:csb0="2000019F" w:csb1="00000000"/>
  </w:font>
  <w:font w:name="楷体_GB2312">
    <w:altName w:val="楷体"/>
    <w:panose1 w:val="02010609030101010101"/>
    <w:charset w:val="86"/>
    <w:family w:val="roman"/>
    <w:pitch w:val="default"/>
    <w:sig w:usb0="00000000" w:usb1="00000000" w:usb2="00000000" w:usb3="00000000" w:csb0="00040000" w:csb1="00000000"/>
  </w:font>
  <w:font w:name="文星简小标宋">
    <w:altName w:val="宋体"/>
    <w:panose1 w:val="02010609000101010101"/>
    <w:charset w:val="86"/>
    <w:family w:val="roman"/>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文星简小标宋">
    <w:altName w:val="宋体"/>
    <w:panose1 w:val="02010609000101010101"/>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文鼎CS大宋">
    <w:altName w:val="宋体"/>
    <w:panose1 w:val="02010609010101010101"/>
    <w:charset w:val="86"/>
    <w:family w:val="swiss"/>
    <w:pitch w:val="default"/>
    <w:sig w:usb0="00000000" w:usb1="00000000" w:usb2="00000000" w:usb3="00000000" w:csb0="00040001" w:csb1="0000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roman"/>
    <w:pitch w:val="default"/>
    <w:sig w:usb0="80000287" w:usb1="280F3C52" w:usb2="00000016" w:usb3="00000000" w:csb0="0004001F" w:csb1="00000000"/>
  </w:font>
  <w:font w:name="方正小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script"/>
    <w:pitch w:val="default"/>
    <w:sig w:usb0="80000287" w:usb1="280F3C52" w:usb2="00000016" w:usb3="00000000" w:csb0="0004001F" w:csb1="00000000"/>
  </w:font>
  <w:font w:name="文鼎CS大宋">
    <w:altName w:val="宋体"/>
    <w:panose1 w:val="02010609010101010101"/>
    <w:charset w:val="86"/>
    <w:family w:val="decorative"/>
    <w:pitch w:val="default"/>
    <w:sig w:usb0="00000000" w:usb1="00000000" w:usb2="00000000" w:usb3="00000000" w:csb0="00040001"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modern"/>
    <w:pitch w:val="default"/>
    <w:sig w:usb0="80000287" w:usb1="280F3C52" w:usb2="00000016" w:usb3="00000000" w:csb0="0004001F" w:csb1="00000000"/>
  </w:font>
  <w:font w:name="Arial">
    <w:panose1 w:val="020B0604020202020204"/>
    <w:charset w:val="00"/>
    <w:family w:val="decorative"/>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MS PGothic">
    <w:panose1 w:val="020B0600070205080204"/>
    <w:charset w:val="80"/>
    <w:family w:val="auto"/>
    <w:pitch w:val="default"/>
    <w:sig w:usb0="E00002FF" w:usb1="6AC7FDFB" w:usb2="00000012" w:usb3="00000000" w:csb0="4002009F" w:csb1="DFD70000"/>
  </w:font>
  <w:font w:name="Arial">
    <w:panose1 w:val="020B0604020202020204"/>
    <w:charset w:val="00"/>
    <w:family w:val="roman"/>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文鼎CS大宋">
    <w:altName w:val="宋体"/>
    <w:panose1 w:val="00000000000000000000"/>
    <w:charset w:val="86"/>
    <w:family w:val="modern"/>
    <w:pitch w:val="default"/>
    <w:sig w:usb0="00000000" w:usb1="00000000" w:usb2="00000010" w:usb3="00000000" w:csb0="00040000" w:csb1="00000000"/>
  </w:font>
  <w:font w:name="Gungsuh">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Gungsuh">
    <w:panose1 w:val="02030600000101010101"/>
    <w:charset w:val="81"/>
    <w:family w:val="modern"/>
    <w:pitch w:val="default"/>
    <w:sig w:usb0="B00002AF" w:usb1="69D77CFB" w:usb2="00000030" w:usb3="00000000" w:csb0="4008009F" w:csb1="DFD70000"/>
  </w:font>
  <w:font w:name="Gungsuh">
    <w:panose1 w:val="02030600000101010101"/>
    <w:charset w:val="81"/>
    <w:family w:val="swiss"/>
    <w:pitch w:val="default"/>
    <w:sig w:usb0="B00002AF" w:usb1="69D77CFB" w:usb2="00000030" w:usb3="00000000" w:csb0="4008009F" w:csb1="DFD70000"/>
  </w:font>
  <w:font w:name="文鼎CS大宋">
    <w:altName w:val="宋体"/>
    <w:panose1 w:val="00000000000000000000"/>
    <w:charset w:val="86"/>
    <w:family w:val="roman"/>
    <w:pitch w:val="default"/>
    <w:sig w:usb0="00000000" w:usb1="00000000" w:usb2="00000010" w:usb3="00000000" w:csb0="00040000" w:csb1="00000000"/>
  </w:font>
  <w:font w:name="Gungsuh">
    <w:panose1 w:val="02030600000101010101"/>
    <w:charset w:val="81"/>
    <w:family w:val="decorative"/>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Calibri Light">
    <w:panose1 w:val="020F0302020204030204"/>
    <w:charset w:val="00"/>
    <w:family w:val="roman"/>
    <w:pitch w:val="default"/>
    <w:sig w:usb0="A00002EF" w:usb1="4000207B" w:usb2="00000000" w:usb3="00000000" w:csb0="2000019F" w:csb1="00000000"/>
  </w:font>
  <w:font w:name="Calibri Light">
    <w:panose1 w:val="020F0302020204030204"/>
    <w:charset w:val="00"/>
    <w:family w:val="modern"/>
    <w:pitch w:val="default"/>
    <w:sig w:usb0="A00002EF" w:usb1="4000207B"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Calibri Light">
    <w:panose1 w:val="020F0302020204030204"/>
    <w:charset w:val="00"/>
    <w:family w:val="decorative"/>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文鼎CS大宋">
    <w:altName w:val="宋体"/>
    <w:panose1 w:val="02010609010101010101"/>
    <w:charset w:val="86"/>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文鼎CS大宋">
    <w:altName w:val="宋体"/>
    <w:panose1 w:val="02010609010101010101"/>
    <w:charset w:val="86"/>
    <w:family w:val="modern"/>
    <w:pitch w:val="default"/>
    <w:sig w:usb0="00000000" w:usb1="00000000" w:usb2="00000000" w:usb3="00000000" w:csb0="00040001" w:csb1="00000000"/>
  </w:font>
  <w:font w:name="Tahoma">
    <w:panose1 w:val="020B0604030504040204"/>
    <w:charset w:val="00"/>
    <w:family w:val="decorative"/>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FSJ-PK7482000005b-Identity-H">
    <w:altName w:val="微软雅黑"/>
    <w:panose1 w:val="00000000000000000000"/>
    <w:charset w:val="00"/>
    <w:family w:val="decorative"/>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FSJ-PK7482000005b-Identity-H">
    <w:altName w:val="微软雅黑"/>
    <w:panose1 w:val="00000000000000000000"/>
    <w:charset w:val="00"/>
    <w:family w:val="roman"/>
    <w:pitch w:val="default"/>
    <w:sig w:usb0="00000000" w:usb1="00000000" w:usb2="00000000" w:usb3="00000000" w:csb0="00040001" w:csb1="00000000"/>
  </w:font>
  <w:font w:name="FSJ-PK7482000005b-Identity-H">
    <w:altName w:val="微软雅黑"/>
    <w:panose1 w:val="00000000000000000000"/>
    <w:charset w:val="00"/>
    <w:family w:val="modern"/>
    <w:pitch w:val="default"/>
    <w:sig w:usb0="00000000" w:usb1="00000000" w:usb2="00000000" w:usb3="00000000" w:csb0="00040001" w:csb1="00000000"/>
  </w:font>
  <w:font w:name="FSJ-PK7482000005b-Identity-H">
    <w:altName w:val="微软雅黑"/>
    <w:panose1 w:val="00000000000000000000"/>
    <w:charset w:val="00"/>
    <w:family w:val="swiss"/>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80281"/>
    <w:rsid w:val="0C7C64D0"/>
    <w:rsid w:val="0D5F6D00"/>
    <w:rsid w:val="2BFC2917"/>
    <w:rsid w:val="2DEF3C0D"/>
    <w:rsid w:val="2ED80281"/>
    <w:rsid w:val="34BA1139"/>
    <w:rsid w:val="358D3D69"/>
    <w:rsid w:val="37F5545C"/>
    <w:rsid w:val="3E877D39"/>
    <w:rsid w:val="40877969"/>
    <w:rsid w:val="449B71D3"/>
    <w:rsid w:val="5649479D"/>
    <w:rsid w:val="6FEA5D29"/>
    <w:rsid w:val="767B0AF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2020-01-09T02:06:00Z</dcterms:created>
  <dc:creator>zj</dc:creator>
  <cp:lastModifiedBy>ADMIN</cp:lastModifiedBy>
  <cp:lastPrinted>2020-01-20T02:24:00Z</cp:lastPrinted>
  <dcterms:modified xsi:type="dcterms:W3CDTF">2020-02-08T06:10:05Z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